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60"/>
        <w:jc w:val="left"/>
        <w:rPr/>
      </w:pPr>
      <w:hyperlink w:anchor="i54bb4eec0dab4063b7a5a162c0b6d974_7">
        <w:r>
          <w:rPr>
            <w:rStyle w:val="InternetLink"/>
          </w:rPr>
          <w:t xml:space="preserve">Table </w:t>
        </w:r>
      </w:hyperlink>
      <w:hyperlink w:anchor="i54bb4eec0dab4063b7a5a162c0b6d974_7">
        <w:r>
          <w:rPr>
            <w:rStyle w:val="InternetLink"/>
          </w:rPr>
          <w:t>of</w:t>
        </w:r>
      </w:hyperlink>
      <w:hyperlink w:anchor="i54bb4eec0dab4063b7a5a162c0b6d974_7">
        <w:r>
          <w:rPr>
            <w:rStyle w:val="InternetLink"/>
          </w:rPr>
          <w:t xml:space="preserve">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Frutiger LT 45 Light;sans-serif" w:hAnsi="Frutiger LT 45 Light;sans-serif"/>
          <w:b/>
          <w:color w:val="000000"/>
          <w:sz w:val="36"/>
        </w:rPr>
      </w:pPr>
      <w:r>
        <w:rPr>
          <w:rFonts w:ascii="Frutiger LT 45 Light;sans-serif" w:hAnsi="Frutiger LT 45 Light;sans-serif"/>
          <w:b/>
          <w:color w:val="000000"/>
          <w:sz w:val="36"/>
        </w:rPr>
        <w:t>UNITED STATES</w:t>
      </w:r>
    </w:p>
    <w:p>
      <w:pPr>
        <w:pStyle w:val="TextBody"/>
        <w:bidi w:val="0"/>
        <w:spacing w:lineRule="auto" w:line="288" w:before="0" w:after="0"/>
        <w:jc w:val="center"/>
        <w:rPr>
          <w:rFonts w:ascii="Frutiger LT 45 Light;sans-serif" w:hAnsi="Frutiger LT 45 Light;sans-serif"/>
          <w:b/>
          <w:color w:val="000000"/>
          <w:sz w:val="36"/>
        </w:rPr>
      </w:pPr>
      <w:r>
        <w:rPr>
          <w:rFonts w:ascii="Frutiger LT 45 Light;sans-serif" w:hAnsi="Frutiger LT 45 Light;sans-serif"/>
          <w:b/>
          <w:color w:val="000000"/>
          <w:sz w:val="36"/>
        </w:rPr>
        <w:t>SECURITIES AND EXCHANGE COMMISSION</w:t>
      </w:r>
    </w:p>
    <w:p>
      <w:pPr>
        <w:pStyle w:val="TextBody"/>
        <w:bidi w:val="0"/>
        <w:spacing w:lineRule="auto" w:line="288" w:before="0" w:after="160"/>
        <w:jc w:val="center"/>
        <w:rPr>
          <w:rFonts w:ascii="Frutiger LT 45 Light;sans-serif" w:hAnsi="Frutiger LT 45 Light;sans-serif"/>
          <w:b/>
          <w:color w:val="000000"/>
          <w:sz w:val="28"/>
        </w:rPr>
      </w:pPr>
      <w:r>
        <w:rPr>
          <w:rFonts w:ascii="Frutiger LT 45 Light;sans-serif" w:hAnsi="Frutiger LT 45 Light;sans-serif"/>
          <w:b/>
          <w:color w:val="000000"/>
          <w:sz w:val="28"/>
        </w:rPr>
        <w:t>Washington, D.C. 20549</w:t>
      </w:r>
    </w:p>
    <w:p>
      <w:pPr>
        <w:pStyle w:val="TextBody"/>
        <w:bidi w:val="0"/>
        <w:spacing w:lineRule="auto" w:line="288" w:before="0" w:after="160"/>
        <w:jc w:val="center"/>
        <w:rPr>
          <w:rFonts w:ascii="Frutiger LT 45 Light;sans-serif" w:hAnsi="Frutiger LT 45 Light;sans-serif"/>
          <w:b/>
          <w:color w:val="000000"/>
          <w:sz w:val="20"/>
        </w:rPr>
      </w:pPr>
      <w:r>
        <w:rPr>
          <w:rFonts w:ascii="Frutiger LT 45 Light;sans-serif" w:hAnsi="Frutiger LT 45 Light;sans-serif"/>
          <w:b/>
          <w:color w:val="000000"/>
          <w:sz w:val="20"/>
        </w:rPr>
        <w:t>___________________________________</w:t>
      </w:r>
    </w:p>
    <w:p>
      <w:pPr>
        <w:pStyle w:val="TextBody"/>
        <w:bidi w:val="0"/>
        <w:spacing w:lineRule="auto" w:line="288" w:before="0" w:after="0"/>
        <w:jc w:val="center"/>
        <w:rPr>
          <w:rFonts w:ascii="Frutiger LT 45 Light;sans-serif" w:hAnsi="Frutiger LT 45 Light;sans-serif"/>
          <w:b/>
          <w:color w:val="000000"/>
          <w:sz w:val="36"/>
        </w:rPr>
      </w:pPr>
      <w:r>
        <w:rPr>
          <w:rFonts w:ascii="Frutiger LT 45 Light;sans-serif" w:hAnsi="Frutiger LT 45 Light;sans-serif"/>
          <w:b/>
          <w:color w:val="000000"/>
          <w:sz w:val="36"/>
        </w:rPr>
        <w:t>FORM 10-Q</w:t>
      </w:r>
    </w:p>
    <w:p>
      <w:pPr>
        <w:pStyle w:val="TextBody"/>
        <w:bidi w:val="0"/>
        <w:spacing w:lineRule="auto" w:line="288" w:before="0" w:after="160"/>
        <w:jc w:val="center"/>
        <w:rPr>
          <w:rFonts w:ascii="Frutiger LT 45 Light;sans-serif" w:hAnsi="Frutiger LT 45 Light;sans-serif"/>
          <w:b/>
          <w:color w:val="000000"/>
          <w:sz w:val="20"/>
        </w:rPr>
      </w:pPr>
      <w:r>
        <w:rPr>
          <w:rFonts w:ascii="Frutiger LT 45 Light;sans-serif" w:hAnsi="Frutiger LT 45 Light;sans-serif"/>
          <w:b/>
          <w:color w:val="000000"/>
          <w:sz w:val="20"/>
        </w:rPr>
        <w:t>___________________________________</w:t>
      </w:r>
    </w:p>
    <w:p>
      <w:pPr>
        <w:pStyle w:val="TextBody"/>
        <w:bidi w:val="0"/>
        <w:spacing w:lineRule="auto" w:line="288" w:before="0" w:after="0"/>
        <w:jc w:val="left"/>
        <w:rPr>
          <w:rFonts w:ascii="Frutiger LT 45 Light;sans-serif" w:hAnsi="Frutiger LT 45 Light;sans-serif"/>
          <w:b/>
          <w:color w:val="000000"/>
          <w:sz w:val="18"/>
        </w:rPr>
      </w:pPr>
      <w:r>
        <w:rPr>
          <w:rFonts w:ascii="Frutiger LT 45 Light;sans-serif" w:hAnsi="Frutiger LT 45 Light;sans-serif"/>
          <w:b/>
          <w:color w:val="000000"/>
          <w:sz w:val="18"/>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20"/>
              </w:rPr>
            </w:pPr>
            <w:r>
              <w:rPr>
                <w:rFonts w:ascii="Frutiger LT 45 Light;sans-serif" w:hAnsi="Frutiger LT 45 Light;sans-serif"/>
                <w:b/>
                <w:color w:val="000000"/>
                <w:sz w:val="20"/>
              </w:rPr>
              <w:t>QUARTERLY REPORT PURSUANT TO SECTION 13 OR 15(d) OF THE SECURITIES EXCHANGE ACT OF 1934</w:t>
            </w:r>
          </w:p>
        </w:tc>
      </w:tr>
    </w:tbl>
    <w:p>
      <w:pPr>
        <w:pStyle w:val="TextBody"/>
        <w:bidi w:val="0"/>
        <w:spacing w:lineRule="auto" w:line="288" w:before="0" w:after="160"/>
        <w:jc w:val="center"/>
        <w:rPr>
          <w:rFonts w:ascii="Frutiger LT 45 Light;sans-serif" w:hAnsi="Frutiger LT 45 Light;sans-serif"/>
          <w:b/>
          <w:color w:val="000000"/>
          <w:sz w:val="20"/>
        </w:rPr>
      </w:pPr>
      <w:r>
        <w:rPr>
          <w:rFonts w:ascii="Frutiger LT 45 Light;sans-serif" w:hAnsi="Frutiger LT 45 Light;sans-serif"/>
          <w:b/>
          <w:color w:val="000000"/>
          <w:sz w:val="20"/>
        </w:rPr>
        <w:t>For the quarterly period ended June 30, 2026</w:t>
      </w:r>
    </w:p>
    <w:p>
      <w:pPr>
        <w:pStyle w:val="TextBody"/>
        <w:bidi w:val="0"/>
        <w:spacing w:lineRule="auto" w:line="288" w:before="0" w:after="160"/>
        <w:jc w:val="center"/>
        <w:rPr>
          <w:rFonts w:ascii="Frutiger LT 45 Light;sans-serif" w:hAnsi="Frutiger LT 45 Light;sans-serif"/>
          <w:b/>
          <w:color w:val="000000"/>
          <w:sz w:val="20"/>
        </w:rPr>
      </w:pPr>
      <w:r>
        <w:rPr>
          <w:rFonts w:ascii="Frutiger LT 45 Light;sans-serif" w:hAnsi="Frutiger LT 45 Light;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20"/>
              </w:rPr>
            </w:pPr>
            <w:r>
              <w:rPr>
                <w:rFonts w:ascii="Frutiger LT 45 Light;sans-serif" w:hAnsi="Frutiger LT 45 Light;sans-serif"/>
                <w:b/>
                <w:color w:val="000000"/>
                <w:sz w:val="20"/>
              </w:rPr>
              <w:t>TRANSITION REPORT PURSUANT TO SECTION 13 OR 15(d) OF THE SECURITIES EXCHANGE ACT OF 1934</w:t>
            </w:r>
          </w:p>
        </w:tc>
      </w:tr>
    </w:tbl>
    <w:p>
      <w:pPr>
        <w:pStyle w:val="TextBody"/>
        <w:bidi w:val="0"/>
        <w:spacing w:lineRule="auto" w:line="288" w:before="0" w:after="160"/>
        <w:jc w:val="center"/>
        <w:rPr>
          <w:rFonts w:ascii="Frutiger LT 45 Light;sans-serif" w:hAnsi="Frutiger LT 45 Light;sans-serif"/>
          <w:b/>
          <w:color w:val="000000"/>
          <w:sz w:val="20"/>
        </w:rPr>
      </w:pPr>
      <w:r>
        <w:rPr>
          <w:rFonts w:ascii="Frutiger LT 45 Light;sans-serif" w:hAnsi="Frutiger LT 45 Light;sans-serif"/>
          <w:b/>
          <w:color w:val="000000"/>
          <w:sz w:val="20"/>
        </w:rPr>
        <w:t xml:space="preserve">For the transition period from ______________ to ______________ </w:t>
      </w:r>
    </w:p>
    <w:p>
      <w:pPr>
        <w:pStyle w:val="TextBody"/>
        <w:bidi w:val="0"/>
        <w:spacing w:lineRule="auto" w:line="288" w:before="0" w:after="160"/>
        <w:jc w:val="center"/>
        <w:rPr>
          <w:rFonts w:ascii="Frutiger LT 45 Light;sans-serif" w:hAnsi="Frutiger LT 45 Light;sans-serif"/>
          <w:b/>
          <w:color w:val="000000"/>
          <w:sz w:val="20"/>
        </w:rPr>
      </w:pPr>
      <w:r>
        <w:rPr>
          <w:rFonts w:ascii="Frutiger LT 45 Light;sans-serif" w:hAnsi="Frutiger LT 45 Light;sans-serif"/>
          <w:b/>
          <w:color w:val="000000"/>
          <w:sz w:val="20"/>
        </w:rPr>
        <w:t>Commission file number 001-42177</w:t>
      </w:r>
    </w:p>
    <w:p>
      <w:pPr>
        <w:pStyle w:val="TextBody"/>
        <w:bidi w:val="0"/>
        <w:spacing w:lineRule="auto" w:line="288" w:before="0" w:after="160"/>
        <w:jc w:val="center"/>
        <w:rPr>
          <w:rFonts w:ascii="Frutiger LT 45 Light;sans-serif" w:hAnsi="Frutiger LT 45 Light;sans-serif"/>
          <w:b/>
          <w:color w:val="000000"/>
          <w:sz w:val="20"/>
        </w:rPr>
      </w:pPr>
      <w:r>
        <w:rPr>
          <w:rFonts w:ascii="Frutiger LT 45 Light;sans-serif" w:hAnsi="Frutiger LT 45 Light;sans-serif"/>
          <w:b/>
          <w:color w:val="000000"/>
          <w:sz w:val="20"/>
        </w:rPr>
        <w:t>___________________________________</w:t>
      </w:r>
    </w:p>
    <w:p>
      <w:pPr>
        <w:pStyle w:val="TextBody"/>
        <w:bidi w:val="0"/>
        <w:spacing w:lineRule="auto" w:line="288" w:before="0" w:after="0"/>
        <w:jc w:val="center"/>
        <w:rPr>
          <w:rFonts w:ascii="Frutiger LT 45 Light;sans-serif" w:hAnsi="Frutiger LT 45 Light;sans-serif"/>
          <w:b/>
          <w:color w:val="000000"/>
          <w:sz w:val="36"/>
        </w:rPr>
      </w:pPr>
      <w:r>
        <w:rPr>
          <w:rFonts w:ascii="Frutiger LT 45 Light;sans-serif" w:hAnsi="Frutiger LT 45 Light;sans-serif"/>
          <w:b/>
          <w:color w:val="000000"/>
          <w:sz w:val="36"/>
        </w:rPr>
        <w:t>TWFG, Inc.</w:t>
      </w:r>
    </w:p>
    <w:p>
      <w:pPr>
        <w:pStyle w:val="TextBody"/>
        <w:bidi w:val="0"/>
        <w:spacing w:lineRule="auto" w:line="288" w:before="0" w:after="120"/>
        <w:jc w:val="center"/>
        <w:rPr>
          <w:rFonts w:ascii="Frutiger LT 45 Light;sans-serif" w:hAnsi="Frutiger LT 45 Light;sans-serif"/>
          <w:b/>
          <w:color w:val="000000"/>
          <w:sz w:val="20"/>
        </w:rPr>
      </w:pPr>
      <w:r>
        <w:rPr>
          <w:rFonts w:ascii="Frutiger LT 45 Light;sans-serif" w:hAnsi="Frutiger LT 45 Light;sans-serif"/>
          <w:b/>
          <w:color w:val="000000"/>
          <w:sz w:val="20"/>
        </w:rPr>
        <w:t>(Exact name of registrant as specified in its charter)</w:t>
      </w:r>
    </w:p>
    <w:p>
      <w:pPr>
        <w:pStyle w:val="TextBody"/>
        <w:bidi w:val="0"/>
        <w:spacing w:lineRule="auto" w:line="288" w:before="0" w:after="160"/>
        <w:jc w:val="center"/>
        <w:rPr>
          <w:rFonts w:ascii="Frutiger LT 45 Light;sans-serif" w:hAnsi="Frutiger LT 45 Light;sans-serif"/>
          <w:b/>
          <w:color w:val="000000"/>
          <w:sz w:val="20"/>
        </w:rPr>
      </w:pPr>
      <w:r>
        <w:rPr>
          <w:rFonts w:ascii="Frutiger LT 45 Light;sans-serif" w:hAnsi="Frutiger LT 45 Light;sans-serif"/>
          <w:b/>
          <w:color w:val="000000"/>
          <w:sz w:val="20"/>
        </w:rPr>
        <w:t>___________________________________</w:t>
      </w:r>
    </w:p>
    <w:tbl>
      <w:tblPr>
        <w:tblW w:w="6503" w:type="dxa"/>
        <w:jc w:val="left"/>
        <w:tblInd w:w="0" w:type="dxa"/>
        <w:tblLayout w:type="fixed"/>
        <w:tblCellMar>
          <w:top w:w="28" w:type="dxa"/>
          <w:left w:w="28" w:type="dxa"/>
          <w:bottom w:w="28" w:type="dxa"/>
          <w:right w:w="28" w:type="dxa"/>
        </w:tblCellMar>
      </w:tblPr>
      <w:tblGrid>
        <w:gridCol w:w="1434"/>
        <w:gridCol w:w="1259"/>
        <w:gridCol w:w="1266"/>
        <w:gridCol w:w="109"/>
        <w:gridCol w:w="109"/>
        <w:gridCol w:w="109"/>
        <w:gridCol w:w="109"/>
        <w:gridCol w:w="109"/>
        <w:gridCol w:w="109"/>
        <w:gridCol w:w="554"/>
        <w:gridCol w:w="554"/>
        <w:gridCol w:w="782"/>
      </w:tblGrid>
      <w:tr>
        <w:trPr/>
        <w:tc>
          <w:tcPr>
            <w:tcW w:w="1434"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Frutiger LT 45 Light;sans-serif" w:hAnsi="Frutiger LT 45 Light;sans-serif"/>
                <w:b/>
                <w:color w:val="000000"/>
                <w:sz w:val="20"/>
              </w:rPr>
            </w:pPr>
            <w:r>
              <w:rPr>
                <w:rFonts w:ascii="Frutiger LT 45 Light;sans-serif" w:hAnsi="Frutiger LT 45 Light;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Frutiger LT 45 Light;sans-serif" w:hAnsi="Frutiger LT 45 Light;sans-serif"/>
                <w:b/>
                <w:color w:val="000000"/>
                <w:sz w:val="20"/>
              </w:rPr>
            </w:pPr>
            <w:r>
              <w:rPr>
                <w:rFonts w:ascii="Frutiger LT 45 Light;sans-serif" w:hAnsi="Frutiger LT 45 Light;sans-serif"/>
                <w:b/>
                <w:color w:val="000000"/>
                <w:sz w:val="20"/>
              </w:rPr>
              <w:t>99-0603906</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(State or other jurisdiction of</w:t>
            </w:r>
          </w:p>
          <w:p>
            <w:pPr>
              <w:pStyle w:val="TableContents"/>
              <w:bidi w:val="0"/>
              <w:spacing w:lineRule="auto" w:line="240" w:before="0" w:after="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(I.R.S. Employer</w:t>
            </w:r>
          </w:p>
          <w:p>
            <w:pPr>
              <w:pStyle w:val="TableContents"/>
              <w:bidi w:val="0"/>
              <w:spacing w:lineRule="auto" w:line="240" w:before="0" w:after="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Identification No.)</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Frutiger LT 45 Light;sans-serif" w:hAnsi="Frutiger LT 45 Light;sans-serif"/>
                <w:b/>
                <w:color w:val="000000"/>
                <w:sz w:val="20"/>
              </w:rPr>
            </w:pPr>
            <w:r>
              <w:rPr>
                <w:rFonts w:ascii="Frutiger LT 45 Light;sans-serif" w:hAnsi="Frutiger LT 45 Light;sans-serif"/>
                <w:b/>
                <w:color w:val="000000"/>
                <w:sz w:val="20"/>
              </w:rPr>
              <w:t>10055 Grogans Mill Rd.</w:t>
            </w:r>
          </w:p>
          <w:p>
            <w:pPr>
              <w:pStyle w:val="TableContents"/>
              <w:bidi w:val="0"/>
              <w:spacing w:lineRule="auto" w:line="240" w:before="0" w:after="0"/>
              <w:jc w:val="center"/>
              <w:rPr>
                <w:rFonts w:ascii="Frutiger LT 45 Light;sans-serif" w:hAnsi="Frutiger LT 45 Light;sans-serif"/>
                <w:b/>
                <w:color w:val="000000"/>
                <w:sz w:val="20"/>
              </w:rPr>
            </w:pPr>
            <w:r>
              <w:rPr>
                <w:rFonts w:ascii="Frutiger LT 45 Light;sans-serif" w:hAnsi="Frutiger LT 45 Light;sans-serif"/>
                <w:b/>
                <w:color w:val="000000"/>
                <w:sz w:val="20"/>
              </w:rPr>
              <w:t>Suite 500</w:t>
            </w:r>
          </w:p>
          <w:p>
            <w:pPr>
              <w:pStyle w:val="TableContents"/>
              <w:bidi w:val="0"/>
              <w:spacing w:lineRule="auto" w:line="240" w:before="0" w:after="0"/>
              <w:jc w:val="center"/>
              <w:rPr>
                <w:rFonts w:ascii="Frutiger LT 45 Light;sans-serif" w:hAnsi="Frutiger LT 45 Light;sans-serif"/>
                <w:b/>
                <w:color w:val="000000"/>
                <w:sz w:val="20"/>
              </w:rPr>
            </w:pPr>
            <w:r>
              <w:rPr>
                <w:rFonts w:ascii="Frutiger LT 45 Light;sans-serif" w:hAnsi="Frutiger LT 45 Light;sans-serif"/>
                <w:b/>
                <w:color w:val="000000"/>
                <w:sz w:val="20"/>
              </w:rPr>
              <w:t>The Woodlands, 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Frutiger LT 45 Light;sans-serif" w:hAnsi="Frutiger LT 45 Light;sans-serif"/>
                <w:b/>
                <w:color w:val="000000"/>
                <w:sz w:val="20"/>
              </w:rPr>
            </w:pPr>
            <w:r>
              <w:rPr>
                <w:rFonts w:ascii="Frutiger LT 45 Light;sans-serif" w:hAnsi="Frutiger LT 45 Light;sans-serif"/>
                <w:b/>
                <w:color w:val="000000"/>
                <w:sz w:val="20"/>
              </w:rPr>
              <w:t>77380</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(Zip Code)</w:t>
            </w:r>
          </w:p>
        </w:tc>
      </w:tr>
    </w:tbl>
    <w:p>
      <w:pPr>
        <w:pStyle w:val="TextBody"/>
        <w:bidi w:val="0"/>
        <w:spacing w:lineRule="auto" w:line="288" w:before="0" w:after="0"/>
        <w:jc w:val="center"/>
        <w:rPr>
          <w:rFonts w:ascii="Frutiger LT 45 Light;sans-serif" w:hAnsi="Frutiger LT 45 Light;sans-serif"/>
          <w:b/>
          <w:color w:val="000000"/>
          <w:sz w:val="20"/>
        </w:rPr>
      </w:pPr>
      <w:r>
        <w:rPr>
          <w:rFonts w:ascii="Frutiger LT 45 Light;sans-serif" w:hAnsi="Frutiger LT 45 Light;sans-serif"/>
          <w:b/>
          <w:color w:val="000000"/>
          <w:sz w:val="20"/>
        </w:rPr>
        <w:t>(281) 367-3424</w:t>
      </w:r>
    </w:p>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Registrant’s telephone number, including area code</w:t>
      </w:r>
    </w:p>
    <w:p>
      <w:pPr>
        <w:pStyle w:val="TextBody"/>
        <w:bidi w:val="0"/>
        <w:spacing w:lineRule="auto" w:line="288" w:before="0" w:after="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765"/>
        <w:gridCol w:w="1471"/>
        <w:gridCol w:w="1474"/>
        <w:gridCol w:w="562"/>
        <w:gridCol w:w="562"/>
        <w:gridCol w:w="563"/>
        <w:gridCol w:w="1113"/>
        <w:gridCol w:w="1113"/>
        <w:gridCol w:w="1582"/>
      </w:tblGrid>
      <w:tr>
        <w:trPr/>
        <w:tc>
          <w:tcPr>
            <w:tcW w:w="1765"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Title of each class</w:t>
            </w:r>
          </w:p>
        </w:tc>
        <w:tc>
          <w:tcPr>
            <w:tcW w:w="16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Trading Symbol(s)</w:t>
            </w:r>
          </w:p>
        </w:tc>
        <w:tc>
          <w:tcPr>
            <w:tcW w:w="380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Name of each exchange on which registered</w:t>
            </w:r>
          </w:p>
        </w:tc>
      </w:tr>
      <w:tr>
        <w:trPr/>
        <w:tc>
          <w:tcPr>
            <w:tcW w:w="471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Frutiger LT 45 Light;sans-serif" w:hAnsi="Frutiger LT 45 Light;sans-serif"/>
                <w:b/>
                <w:color w:val="000000"/>
                <w:sz w:val="20"/>
              </w:rPr>
            </w:pPr>
            <w:r>
              <w:rPr>
                <w:rFonts w:ascii="Frutiger LT 45 Light;sans-serif" w:hAnsi="Frutiger LT 45 Light;sans-serif"/>
                <w:b/>
                <w:color w:val="000000"/>
                <w:sz w:val="20"/>
              </w:rPr>
              <w:t>Class A Common Stock, $0.01 par value per share</w:t>
            </w:r>
          </w:p>
        </w:tc>
        <w:tc>
          <w:tcPr>
            <w:tcW w:w="168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Frutiger LT 45 Light;sans-serif" w:hAnsi="Frutiger LT 45 Light;sans-serif"/>
                <w:b/>
                <w:color w:val="000000"/>
                <w:sz w:val="20"/>
              </w:rPr>
            </w:pPr>
            <w:r>
              <w:rPr>
                <w:rFonts w:ascii="Frutiger LT 45 Light;sans-serif" w:hAnsi="Frutiger LT 45 Light;sans-serif"/>
                <w:b/>
                <w:color w:val="000000"/>
                <w:sz w:val="20"/>
              </w:rPr>
              <w:t>TWFG</w:t>
            </w:r>
          </w:p>
        </w:tc>
        <w:tc>
          <w:tcPr>
            <w:tcW w:w="3808"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Frutiger LT 45 Light;sans-serif" w:hAnsi="Frutiger LT 45 Light;sans-serif"/>
                <w:b/>
                <w:color w:val="000000"/>
                <w:sz w:val="20"/>
              </w:rPr>
            </w:pPr>
            <w:r>
              <w:rPr>
                <w:rFonts w:ascii="Frutiger LT 45 Light;sans-serif" w:hAnsi="Frutiger LT 45 Light;sans-serif"/>
                <w:b/>
                <w:color w:val="000000"/>
                <w:sz w:val="20"/>
              </w:rPr>
              <w:t>The Nasdaq Stock Market LLC</w:t>
            </w:r>
          </w:p>
        </w:tc>
      </w:tr>
    </w:tbl>
    <w:p>
      <w:pPr>
        <w:pStyle w:val="TextBody"/>
        <w:bidi w:val="0"/>
        <w:spacing w:lineRule="auto" w:line="288" w:before="0" w:after="0"/>
        <w:jc w:val="both"/>
        <w:rPr>
          <w:rFonts w:ascii="Frutiger LT 45 Light;sans-serif" w:hAnsi="Frutiger LT 45 Light;sans-serif"/>
          <w:b w:val="false"/>
          <w:color w:val="000000"/>
          <w:sz w:val="20"/>
        </w:rPr>
      </w:pPr>
      <w:r>
        <w:rPr>
          <w:rFonts w:ascii="Frutiger LT 45 Light;sans-serif" w:hAnsi="Frutiger LT 45 Light;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160"/>
        <w:jc w:val="right"/>
        <w:rPr/>
      </w:pPr>
      <w:r>
        <w:rPr>
          <w:rFonts w:ascii="Frutiger LT 45 Light;sans-serif" w:hAnsi="Frutiger LT 45 Light;sans-serif"/>
          <w:b w:val="false"/>
          <w:color w:val="000000"/>
          <w:sz w:val="20"/>
        </w:rPr>
        <w:t xml:space="preserve">Yes </w:t>
      </w:r>
      <w:r>
        <w:rPr>
          <w:rFonts w:ascii="Wingdings;sans-serif" w:hAnsi="Wingdings;sans-serif"/>
          <w:b w:val="false"/>
          <w:color w:val="000000"/>
          <w:sz w:val="20"/>
        </w:rPr>
        <w:t>x</w:t>
      </w:r>
      <w:r>
        <w:rPr>
          <w:color w:val="000000"/>
        </w:rPr>
        <w:t>  </w:t>
      </w:r>
      <w:r>
        <w:rPr>
          <w:rFonts w:ascii="Frutiger LT 45 Light;sans-serif" w:hAnsi="Frutiger LT 45 Light;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0"/>
        <w:jc w:val="both"/>
        <w:rPr>
          <w:rFonts w:ascii="Frutiger LT 45 Light;sans-serif" w:hAnsi="Frutiger LT 45 Light;sans-serif"/>
          <w:b w:val="false"/>
          <w:color w:val="000000"/>
          <w:sz w:val="20"/>
        </w:rPr>
      </w:pPr>
      <w:r>
        <w:rPr>
          <w:rFonts w:ascii="Frutiger LT 45 Light;sans-serif" w:hAnsi="Frutiger LT 45 Light;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lineRule="auto" w:line="288" w:before="0" w:after="160"/>
        <w:jc w:val="right"/>
        <w:rPr/>
      </w:pPr>
      <w:r>
        <w:rPr>
          <w:rFonts w:ascii="Frutiger LT 45 Light;sans-serif" w:hAnsi="Frutiger LT 45 Light;sans-serif"/>
          <w:b w:val="false"/>
          <w:color w:val="000000"/>
          <w:sz w:val="20"/>
        </w:rPr>
        <w:t xml:space="preserve">Yes </w:t>
      </w:r>
      <w:r>
        <w:rPr>
          <w:rFonts w:ascii="Wingdings;sans-serif" w:hAnsi="Wingdings;sans-serif"/>
          <w:b w:val="false"/>
          <w:color w:val="000000"/>
          <w:sz w:val="20"/>
        </w:rPr>
        <w:t>x</w:t>
      </w:r>
      <w:r>
        <w:rPr>
          <w:color w:val="000000"/>
        </w:rPr>
        <w:t>   </w:t>
      </w:r>
      <w:r>
        <w:rPr>
          <w:rFonts w:ascii="Frutiger LT 45 Light;sans-serif" w:hAnsi="Frutiger LT 45 Light;sans-serif"/>
          <w:b w:val="false"/>
          <w:color w:val="000000"/>
          <w:sz w:val="20"/>
        </w:rPr>
        <w:t xml:space="preserve">No </w:t>
      </w:r>
      <w:r>
        <w:rPr>
          <w:rFonts w:ascii="Wingdings;sans-serif" w:hAnsi="Wingdings;sans-serif"/>
          <w:b w:val="false"/>
          <w:color w:val="000000"/>
          <w:sz w:val="20"/>
        </w:rPr>
        <w: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txbxContent>
                </v:textbox>
                <w10:wrap type="none"/>
              </v:rect>
            </w:pict>
          </mc:Fallback>
        </mc:AlternateContent>
      </w:r>
    </w:p>
    <w:p>
      <w:pPr>
        <w:pStyle w:val="TextBody"/>
        <w:bidi w:val="0"/>
        <w:spacing w:lineRule="auto" w:line="288" w:before="0" w:after="160"/>
        <w:jc w:val="left"/>
        <w:rPr/>
      </w:pPr>
      <w:hyperlink w:anchor="i54bb4eec0dab4063b7a5a162c0b6d974_7">
        <w:r>
          <w:rPr>
            <w:rStyle w:val="InternetLink"/>
          </w:rPr>
          <w:t xml:space="preserve">Table </w:t>
        </w:r>
      </w:hyperlink>
      <w:hyperlink w:anchor="i54bb4eec0dab4063b7a5a162c0b6d974_7">
        <w:r>
          <w:rPr>
            <w:rStyle w:val="InternetLink"/>
          </w:rPr>
          <w:t>of</w:t>
        </w:r>
      </w:hyperlink>
      <w:hyperlink w:anchor="i54bb4eec0dab4063b7a5a162c0b6d974_7">
        <w:r>
          <w:rPr>
            <w:rStyle w:val="InternetLink"/>
          </w:rPr>
          <w:t xml:space="preserve"> Contents</w:t>
        </w:r>
      </w:hyperlink>
    </w:p>
    <w:p>
      <w:pPr>
        <w:pStyle w:val="TextBody"/>
        <w:bidi w:val="0"/>
        <w:spacing w:lineRule="auto" w:line="288" w:before="0" w:after="160"/>
        <w:jc w:val="both"/>
        <w:rPr>
          <w:rFonts w:ascii="Frutiger LT 45 Light;sans-serif" w:hAnsi="Frutiger LT 45 Light;sans-serif"/>
          <w:b w:val="false"/>
          <w:color w:val="000000"/>
          <w:sz w:val="20"/>
        </w:rPr>
      </w:pPr>
      <w:r>
        <w:rPr>
          <w:rFonts w:ascii="Frutiger LT 45 Light;sans-serif" w:hAnsi="Frutiger LT 45 Light;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081" w:type="dxa"/>
        <w:jc w:val="left"/>
        <w:tblInd w:w="0" w:type="dxa"/>
        <w:tblLayout w:type="fixed"/>
        <w:tblCellMar>
          <w:top w:w="28" w:type="dxa"/>
          <w:left w:w="28" w:type="dxa"/>
          <w:bottom w:w="28" w:type="dxa"/>
          <w:right w:w="28" w:type="dxa"/>
        </w:tblCellMar>
      </w:tblPr>
      <w:tblGrid>
        <w:gridCol w:w="832"/>
        <w:gridCol w:w="730"/>
        <w:gridCol w:w="733"/>
        <w:gridCol w:w="109"/>
        <w:gridCol w:w="109"/>
        <w:gridCol w:w="109"/>
        <w:gridCol w:w="109"/>
        <w:gridCol w:w="109"/>
        <w:gridCol w:w="109"/>
        <w:gridCol w:w="919"/>
        <w:gridCol w:w="919"/>
        <w:gridCol w:w="922"/>
        <w:gridCol w:w="109"/>
        <w:gridCol w:w="109"/>
        <w:gridCol w:w="154"/>
      </w:tblGrid>
      <w:tr>
        <w:trPr/>
        <w:tc>
          <w:tcPr>
            <w:tcW w:w="83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60"/>
              <w:jc w:val="righ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60"/>
              <w:jc w:val="right"/>
              <w:rPr>
                <w:rFonts w:ascii="Wingdings;sans-serif" w:hAnsi="Wingdings;sans-serif"/>
                <w:b w:val="false"/>
                <w:color w:val="000000"/>
                <w:sz w:val="20"/>
              </w:rPr>
            </w:pPr>
            <w:r>
              <w:rPr>
                <w:rFonts w:ascii="Wingdings;sans-serif" w:hAnsi="Wingdings;sans-serif"/>
                <w:b w:val="false"/>
                <w:color w:val="000000"/>
                <w:sz w:val="20"/>
              </w:rPr>
              <w:t>x</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60"/>
              <w:jc w:val="righ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60"/>
              <w:jc w:val="right"/>
              <w:rPr>
                <w:rFonts w:ascii="Wingdings;sans-serif" w:hAnsi="Wingdings;sans-serif"/>
                <w:b w:val="false"/>
                <w:color w:val="000000"/>
                <w:sz w:val="20"/>
              </w:rPr>
            </w:pPr>
            <w:r>
              <w:rPr>
                <w:rFonts w:ascii="Wingdings;sans-serif" w:hAnsi="Wingdings;sans-serif"/>
                <w:b w:val="false"/>
                <w:color w:val="000000"/>
                <w:sz w:val="20"/>
              </w:rPr>
              <w:t>o</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60"/>
              <w:jc w:val="righ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0" w:after="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333" w:before="0" w:after="160"/>
        <w:jc w:val="right"/>
        <w:rPr>
          <w:rFonts w:ascii="Wingdings;sans-serif" w:hAnsi="Wingdings;sans-serif"/>
          <w:b w:val="false"/>
          <w:color w:val="000000"/>
          <w:sz w:val="20"/>
        </w:rPr>
      </w:pPr>
      <w:r>
        <w:rPr>
          <w:rFonts w:ascii="Wingdings;sans-serif" w:hAnsi="Wingdings;sans-serif"/>
          <w:b w:val="false"/>
          <w:color w:val="000000"/>
          <w:sz w:val="20"/>
        </w:rPr>
        <w:t>o</w:t>
      </w:r>
    </w:p>
    <w:p>
      <w:pPr>
        <w:pStyle w:val="TextBody"/>
        <w:bidi w:val="0"/>
        <w:spacing w:lineRule="auto" w:line="288" w:before="0" w:after="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Indicate by check mark whether the registrant is a shell company (as defined in Rule 12b-2 of the Act).</w:t>
      </w:r>
    </w:p>
    <w:p>
      <w:pPr>
        <w:pStyle w:val="TextBody"/>
        <w:bidi w:val="0"/>
        <w:spacing w:lineRule="auto" w:line="288" w:before="0" w:after="160"/>
        <w:jc w:val="right"/>
        <w:rPr/>
      </w:pPr>
      <w:r>
        <w:rPr>
          <w:rFonts w:ascii="Frutiger LT 45 Light;sans-serif" w:hAnsi="Frutiger LT 45 Light;sans-serif"/>
          <w:b w:val="false"/>
          <w:color w:val="000000"/>
          <w:sz w:val="20"/>
        </w:rPr>
        <w:t xml:space="preserve">Yes </w:t>
      </w:r>
      <w:r>
        <w:rPr>
          <w:rFonts w:ascii="Wingdings;sans-serif" w:hAnsi="Wingdings;sans-serif"/>
          <w:b w:val="false"/>
          <w:color w:val="000000"/>
          <w:sz w:val="20"/>
        </w:rPr>
        <w:t>o</w:t>
      </w:r>
      <w:r>
        <w:rPr>
          <w:color w:val="000000"/>
        </w:rPr>
        <w:t>   </w:t>
      </w:r>
      <w:r>
        <w:rPr>
          <w:rFonts w:ascii="Frutiger LT 45 Light;sans-serif" w:hAnsi="Frutiger LT 45 Light;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As of August 5, 2026, there were 12,880,333 shares of Class A common stock, 7,277,651 shares of Class B common stock and 33,893,810 shares of Class C common stock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txbxContent>
                </v:textbox>
                <w10:wrap type="none"/>
              </v:rect>
            </w:pict>
          </mc:Fallback>
        </mc:AlternateContent>
      </w:r>
    </w:p>
    <w:p>
      <w:pPr>
        <w:pStyle w:val="TextBody"/>
        <w:bidi w:val="0"/>
        <w:spacing w:lineRule="auto" w:line="288" w:before="0" w:after="160"/>
        <w:jc w:val="left"/>
        <w:rPr/>
      </w:pPr>
      <w:hyperlink w:anchor="i54bb4eec0dab4063b7a5a162c0b6d974_7">
        <w:r>
          <w:rPr>
            <w:rStyle w:val="InternetLink"/>
          </w:rPr>
          <w:t xml:space="preserve">Table </w:t>
        </w:r>
      </w:hyperlink>
      <w:hyperlink w:anchor="i54bb4eec0dab4063b7a5a162c0b6d974_7">
        <w:r>
          <w:rPr>
            <w:rStyle w:val="InternetLink"/>
          </w:rPr>
          <w:t>of</w:t>
        </w:r>
      </w:hyperlink>
      <w:hyperlink w:anchor="i54bb4eec0dab4063b7a5a162c0b6d974_7">
        <w:r>
          <w:rPr>
            <w:rStyle w:val="InternetLink"/>
          </w:rPr>
          <w:t xml:space="preserve"> Contents</w:t>
        </w:r>
      </w:hyperlink>
    </w:p>
    <w:p>
      <w:pPr>
        <w:pStyle w:val="TextBody"/>
        <w:bidi w:val="0"/>
        <w:spacing w:lineRule="auto" w:line="288" w:before="0" w:after="320"/>
        <w:jc w:val="center"/>
        <w:rPr>
          <w:rFonts w:ascii="Frutiger LT 45 Light;sans-serif" w:hAnsi="Frutiger LT 45 Light;sans-serif"/>
          <w:b/>
          <w:color w:val="000000"/>
          <w:sz w:val="32"/>
        </w:rPr>
      </w:pPr>
      <w:r>
        <w:rPr>
          <w:rFonts w:ascii="Frutiger LT 45 Light;sans-serif" w:hAnsi="Frutiger LT 45 Light;sans-serif"/>
          <w:b/>
          <w:color w:val="000000"/>
          <w:sz w:val="32"/>
        </w:rPr>
        <w:t>Table of Contents</w:t>
      </w:r>
    </w:p>
    <w:tbl>
      <w:tblPr>
        <w:tblW w:w="10205" w:type="dxa"/>
        <w:jc w:val="left"/>
        <w:tblInd w:w="0" w:type="dxa"/>
        <w:tblLayout w:type="fixed"/>
        <w:tblCellMar>
          <w:top w:w="28" w:type="dxa"/>
          <w:left w:w="28" w:type="dxa"/>
          <w:bottom w:w="28" w:type="dxa"/>
          <w:right w:w="28" w:type="dxa"/>
        </w:tblCellMar>
      </w:tblPr>
      <w:tblGrid>
        <w:gridCol w:w="214"/>
        <w:gridCol w:w="188"/>
        <w:gridCol w:w="188"/>
        <w:gridCol w:w="2935"/>
        <w:gridCol w:w="2812"/>
        <w:gridCol w:w="2818"/>
        <w:gridCol w:w="305"/>
        <w:gridCol w:w="305"/>
        <w:gridCol w:w="440"/>
      </w:tblGrid>
      <w:tr>
        <w:trPr/>
        <w:tc>
          <w:tcPr>
            <w:tcW w:w="21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935" w:type="dxa"/>
            <w:tcBorders/>
            <w:vAlign w:val="center"/>
          </w:tcPr>
          <w:p>
            <w:pPr>
              <w:pStyle w:val="TableContents"/>
              <w:bidi w:val="0"/>
              <w:spacing w:before="0" w:after="283"/>
              <w:jc w:val="left"/>
              <w:rPr>
                <w:sz w:val="4"/>
                <w:szCs w:val="4"/>
              </w:rPr>
            </w:pPr>
            <w:r>
              <w:rPr>
                <w:sz w:val="4"/>
                <w:szCs w:val="4"/>
              </w:rPr>
            </w:r>
          </w:p>
        </w:tc>
        <w:tc>
          <w:tcPr>
            <w:tcW w:w="2812" w:type="dxa"/>
            <w:tcBorders/>
            <w:vAlign w:val="center"/>
          </w:tcPr>
          <w:p>
            <w:pPr>
              <w:pStyle w:val="TableContents"/>
              <w:bidi w:val="0"/>
              <w:spacing w:before="0" w:after="283"/>
              <w:jc w:val="left"/>
              <w:rPr>
                <w:sz w:val="4"/>
                <w:szCs w:val="4"/>
              </w:rPr>
            </w:pPr>
            <w:r>
              <w:rPr>
                <w:sz w:val="4"/>
                <w:szCs w:val="4"/>
              </w:rPr>
            </w:r>
          </w:p>
        </w:tc>
        <w:tc>
          <w:tcPr>
            <w:tcW w:w="281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r>
      <w:tr>
        <w:trPr/>
        <w:tc>
          <w:tcPr>
            <w:tcW w:w="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54bb4eec0dab4063b7a5a162c0b6d974_16">
              <w:r>
                <w:rPr>
                  <w:rStyle w:val="InternetLink"/>
                  <w:rFonts w:ascii="Frutiger LT 45 Light;sans-serif" w:hAnsi="Frutiger LT 45 Light;sans-serif"/>
                  <w:b/>
                  <w:strike w:val="false"/>
                  <w:dstrike w:val="false"/>
                  <w:color w:val="000000"/>
                  <w:sz w:val="18"/>
                  <w:u w:val="none"/>
                  <w:effect w:val="none"/>
                </w:rPr>
                <w:t>Part I - Financial Information</w:t>
              </w:r>
            </w:hyperlink>
          </w:p>
        </w:tc>
      </w:tr>
      <w:tr>
        <w:trPr/>
        <w:tc>
          <w:tcPr>
            <w:tcW w:w="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bb4eec0dab4063b7a5a162c0b6d974_19">
              <w:r>
                <w:rPr>
                  <w:rStyle w:val="InternetLink"/>
                  <w:rFonts w:ascii="Frutiger LT 45 Light;sans-serif" w:hAnsi="Frutiger LT 45 Light;sans-serif"/>
                  <w:b w:val="false"/>
                  <w:color w:val="3051F2"/>
                  <w:sz w:val="18"/>
                  <w:u w:val="single"/>
                </w:rPr>
                <w:t>Item 1. Condensed Consolidated Financial Statements (Unaudited)</w:t>
              </w:r>
            </w:hyperlink>
          </w:p>
        </w:tc>
        <w:tc>
          <w:tcPr>
            <w:tcW w:w="10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bb4eec0dab4063b7a5a162c0b6d974_19">
              <w:r>
                <w:rPr>
                  <w:rStyle w:val="InternetLink"/>
                  <w:rFonts w:ascii="Frutiger LT 45 Light;sans-serif" w:hAnsi="Frutiger LT 45 Light;sans-serif"/>
                  <w:b w:val="false"/>
                  <w:strike w:val="false"/>
                  <w:dstrike w:val="false"/>
                  <w:color w:val="0000FF"/>
                  <w:sz w:val="18"/>
                  <w:u w:val="none"/>
                  <w:effect w:val="none"/>
                </w:rPr>
                <w:t>1</w:t>
              </w:r>
            </w:hyperlink>
          </w:p>
        </w:tc>
      </w:tr>
      <w:tr>
        <w:trPr/>
        <w:tc>
          <w:tcPr>
            <w:tcW w:w="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bb4eec0dab4063b7a5a162c0b6d974_22">
              <w:r>
                <w:rPr>
                  <w:rStyle w:val="InternetLink"/>
                  <w:rFonts w:ascii="Frutiger LT 45 Light;sans-serif" w:hAnsi="Frutiger LT 45 Light;sans-serif"/>
                  <w:b w:val="false"/>
                  <w:color w:val="000080"/>
                  <w:sz w:val="18"/>
                  <w:u w:val="single"/>
                </w:rPr>
                <w:t xml:space="preserve">Condensed Consolidated Statements of Income for the </w:t>
              </w:r>
            </w:hyperlink>
            <w:r>
              <w:rPr>
                <w:rFonts w:ascii="Frutiger LT 45 Light;sans-serif" w:hAnsi="Frutiger LT 45 Light;sans-serif"/>
                <w:b w:val="false"/>
                <w:color w:val="3051F2"/>
                <w:sz w:val="18"/>
                <w:u w:val="single"/>
              </w:rPr>
              <w:t>three and six months ended June 30, 2026 and 2025</w:t>
            </w:r>
          </w:p>
        </w:tc>
        <w:tc>
          <w:tcPr>
            <w:tcW w:w="10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bb4eec0dab4063b7a5a162c0b6d974_22">
              <w:r>
                <w:rPr>
                  <w:rStyle w:val="InternetLink"/>
                  <w:rFonts w:ascii="Frutiger LT 45 Light;sans-serif" w:hAnsi="Frutiger LT 45 Light;sans-serif"/>
                  <w:b w:val="false"/>
                  <w:strike w:val="false"/>
                  <w:dstrike w:val="false"/>
                  <w:color w:val="0000FF"/>
                  <w:sz w:val="18"/>
                  <w:u w:val="none"/>
                  <w:effect w:val="none"/>
                </w:rPr>
                <w:t>1</w:t>
              </w:r>
            </w:hyperlink>
          </w:p>
        </w:tc>
      </w:tr>
      <w:tr>
        <w:trPr/>
        <w:tc>
          <w:tcPr>
            <w:tcW w:w="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bb4eec0dab4063b7a5a162c0b6d974_25">
              <w:r>
                <w:rPr>
                  <w:rStyle w:val="InternetLink"/>
                  <w:rFonts w:ascii="Frutiger LT 45 Light;sans-serif" w:hAnsi="Frutiger LT 45 Light;sans-serif"/>
                  <w:b w:val="false"/>
                  <w:color w:val="000080"/>
                  <w:sz w:val="18"/>
                  <w:u w:val="single"/>
                </w:rPr>
                <w:t>Condensed Consolidated Statements of Comprehensive Income</w:t>
              </w:r>
            </w:hyperlink>
            <w:r>
              <w:rPr>
                <w:rFonts w:ascii="Frutiger LT 45 Light;sans-serif" w:hAnsi="Frutiger LT 45 Light;sans-serif"/>
                <w:b w:val="false"/>
                <w:color w:val="3051F2"/>
                <w:sz w:val="18"/>
                <w:u w:val="single"/>
              </w:rPr>
              <w:t xml:space="preserve"> for the three and six months ended June 30, 2026 and 2025</w:t>
            </w:r>
          </w:p>
        </w:tc>
        <w:tc>
          <w:tcPr>
            <w:tcW w:w="10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bb4eec0dab4063b7a5a162c0b6d974_25">
              <w:r>
                <w:rPr>
                  <w:rStyle w:val="InternetLink"/>
                  <w:rFonts w:ascii="Frutiger LT 45 Light;sans-serif" w:hAnsi="Frutiger LT 45 Light;sans-serif"/>
                  <w:b w:val="false"/>
                  <w:strike w:val="false"/>
                  <w:dstrike w:val="false"/>
                  <w:color w:val="0000FF"/>
                  <w:sz w:val="18"/>
                  <w:u w:val="none"/>
                  <w:effect w:val="none"/>
                </w:rPr>
                <w:t>2</w:t>
              </w:r>
            </w:hyperlink>
          </w:p>
        </w:tc>
      </w:tr>
      <w:tr>
        <w:trPr/>
        <w:tc>
          <w:tcPr>
            <w:tcW w:w="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bb4eec0dab4063b7a5a162c0b6d974_28">
              <w:r>
                <w:rPr>
                  <w:rStyle w:val="InternetLink"/>
                  <w:rFonts w:ascii="Frutiger LT 45 Light;sans-serif" w:hAnsi="Frutiger LT 45 Light;sans-serif"/>
                  <w:b w:val="false"/>
                  <w:color w:val="000080"/>
                  <w:sz w:val="18"/>
                  <w:u w:val="single"/>
                </w:rPr>
                <w:t>Condensed Consolidated B</w:t>
              </w:r>
            </w:hyperlink>
            <w:r>
              <w:rPr>
                <w:rFonts w:ascii="Frutiger LT 45 Light;sans-serif" w:hAnsi="Frutiger LT 45 Light;sans-serif"/>
                <w:b w:val="false"/>
                <w:color w:val="3051F2"/>
                <w:sz w:val="18"/>
                <w:u w:val="single"/>
              </w:rPr>
              <w:t>alance Sheets as of June 30, 2026 and December 31, 2025</w:t>
            </w:r>
          </w:p>
        </w:tc>
        <w:tc>
          <w:tcPr>
            <w:tcW w:w="10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bb4eec0dab4063b7a5a162c0b6d974_28">
              <w:r>
                <w:rPr>
                  <w:rStyle w:val="InternetLink"/>
                  <w:rFonts w:ascii="Frutiger LT 45 Light;sans-serif" w:hAnsi="Frutiger LT 45 Light;sans-serif"/>
                  <w:b w:val="false"/>
                  <w:strike w:val="false"/>
                  <w:dstrike w:val="false"/>
                  <w:color w:val="0000FF"/>
                  <w:sz w:val="18"/>
                  <w:u w:val="none"/>
                  <w:effect w:val="none"/>
                </w:rPr>
                <w:t>3</w:t>
              </w:r>
            </w:hyperlink>
          </w:p>
        </w:tc>
      </w:tr>
      <w:tr>
        <w:trPr/>
        <w:tc>
          <w:tcPr>
            <w:tcW w:w="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bb4eec0dab4063b7a5a162c0b6d974_31">
              <w:r>
                <w:rPr>
                  <w:rStyle w:val="InternetLink"/>
                  <w:rFonts w:ascii="Frutiger LT 45 Light;sans-serif" w:hAnsi="Frutiger LT 45 Light;sans-serif"/>
                  <w:b w:val="false"/>
                  <w:color w:val="000080"/>
                  <w:sz w:val="18"/>
                  <w:u w:val="single"/>
                </w:rPr>
                <w:t>Condensed Consolidated Statements of Changes in Redeemable Noncontrolling Interest and Stockholders’ Equity</w:t>
              </w:r>
            </w:hyperlink>
            <w:r>
              <w:rPr>
                <w:rFonts w:ascii="Frutiger LT 45 Light;sans-serif" w:hAnsi="Frutiger LT 45 Light;sans-serif"/>
                <w:b w:val="false"/>
                <w:color w:val="3051F2"/>
                <w:sz w:val="18"/>
                <w:u w:val="single"/>
              </w:rPr>
              <w:t xml:space="preserve"> for the three and six months ended June 30, 2026 and 2025</w:t>
            </w:r>
          </w:p>
        </w:tc>
        <w:tc>
          <w:tcPr>
            <w:tcW w:w="10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bb4eec0dab4063b7a5a162c0b6d974_31">
              <w:r>
                <w:rPr>
                  <w:rStyle w:val="InternetLink"/>
                  <w:rFonts w:ascii="Frutiger LT 45 Light;sans-serif" w:hAnsi="Frutiger LT 45 Light;sans-serif"/>
                  <w:b w:val="false"/>
                  <w:strike w:val="false"/>
                  <w:dstrike w:val="false"/>
                  <w:color w:val="0000FF"/>
                  <w:sz w:val="18"/>
                  <w:u w:val="none"/>
                  <w:effect w:val="none"/>
                </w:rPr>
                <w:t>4</w:t>
              </w:r>
            </w:hyperlink>
          </w:p>
        </w:tc>
      </w:tr>
      <w:tr>
        <w:trPr/>
        <w:tc>
          <w:tcPr>
            <w:tcW w:w="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bb4eec0dab4063b7a5a162c0b6d974_34">
              <w:r>
                <w:rPr>
                  <w:rStyle w:val="InternetLink"/>
                  <w:rFonts w:ascii="Frutiger LT 45 Light;sans-serif" w:hAnsi="Frutiger LT 45 Light;sans-serif"/>
                  <w:b w:val="false"/>
                  <w:color w:val="000080"/>
                  <w:sz w:val="18"/>
                  <w:u w:val="single"/>
                </w:rPr>
                <w:t>Condensed Consolidated Statements of Cash Flows</w:t>
              </w:r>
            </w:hyperlink>
            <w:r>
              <w:rPr>
                <w:rFonts w:ascii="Frutiger LT 45 Light;sans-serif" w:hAnsi="Frutiger LT 45 Light;sans-serif"/>
                <w:b w:val="false"/>
                <w:color w:val="3051F2"/>
                <w:sz w:val="18"/>
                <w:u w:val="single"/>
              </w:rPr>
              <w:t xml:space="preserve"> for the six months ended June 30, 2026 and 2025</w:t>
            </w:r>
          </w:p>
        </w:tc>
        <w:tc>
          <w:tcPr>
            <w:tcW w:w="10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bb4eec0dab4063b7a5a162c0b6d974_34">
              <w:r>
                <w:rPr>
                  <w:rStyle w:val="InternetLink"/>
                  <w:rFonts w:ascii="Frutiger LT 45 Light;sans-serif" w:hAnsi="Frutiger LT 45 Light;sans-serif"/>
                  <w:b w:val="false"/>
                  <w:strike w:val="false"/>
                  <w:dstrike w:val="false"/>
                  <w:color w:val="0000FF"/>
                  <w:sz w:val="18"/>
                  <w:u w:val="none"/>
                  <w:effect w:val="none"/>
                </w:rPr>
                <w:t>6</w:t>
              </w:r>
            </w:hyperlink>
          </w:p>
        </w:tc>
      </w:tr>
      <w:tr>
        <w:trPr/>
        <w:tc>
          <w:tcPr>
            <w:tcW w:w="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bb4eec0dab4063b7a5a162c0b6d974_37">
              <w:r>
                <w:rPr>
                  <w:rStyle w:val="InternetLink"/>
                  <w:rFonts w:ascii="Frutiger LT 45 Light;sans-serif" w:hAnsi="Frutiger LT 45 Light;sans-serif"/>
                  <w:b w:val="false"/>
                  <w:color w:val="3051F2"/>
                  <w:sz w:val="18"/>
                  <w:u w:val="single"/>
                </w:rPr>
                <w:t>Notes to the Condensed Consolidated Financial Statements</w:t>
              </w:r>
            </w:hyperlink>
          </w:p>
        </w:tc>
        <w:tc>
          <w:tcPr>
            <w:tcW w:w="10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bb4eec0dab4063b7a5a162c0b6d974_37">
              <w:r>
                <w:rPr>
                  <w:rStyle w:val="InternetLink"/>
                  <w:rFonts w:ascii="Frutiger LT 45 Light;sans-serif" w:hAnsi="Frutiger LT 45 Light;sans-serif"/>
                  <w:b w:val="false"/>
                  <w:strike w:val="false"/>
                  <w:dstrike w:val="false"/>
                  <w:color w:val="0000FF"/>
                  <w:sz w:val="18"/>
                  <w:u w:val="none"/>
                  <w:effect w:val="none"/>
                </w:rPr>
                <w:t>8</w:t>
              </w:r>
            </w:hyperlink>
          </w:p>
        </w:tc>
      </w:tr>
      <w:tr>
        <w:trPr/>
        <w:tc>
          <w:tcPr>
            <w:tcW w:w="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bb4eec0dab4063b7a5a162c0b6d974_91">
              <w:r>
                <w:rPr>
                  <w:rStyle w:val="InternetLink"/>
                  <w:rFonts w:ascii="Frutiger LT 45 Light;sans-serif" w:hAnsi="Frutiger LT 45 Light;sans-serif"/>
                  <w:b w:val="false"/>
                  <w:color w:val="3051F2"/>
                  <w:sz w:val="18"/>
                  <w:u w:val="single"/>
                </w:rPr>
                <w:t>Item 2. Management's Discussion and Analysis of Financial Condition and Results of Operations</w:t>
              </w:r>
            </w:hyperlink>
          </w:p>
        </w:tc>
        <w:tc>
          <w:tcPr>
            <w:tcW w:w="10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bb4eec0dab4063b7a5a162c0b6d974_91">
              <w:r>
                <w:rPr>
                  <w:rStyle w:val="InternetLink"/>
                  <w:rFonts w:ascii="Frutiger LT 45 Light;sans-serif" w:hAnsi="Frutiger LT 45 Light;sans-serif"/>
                  <w:b w:val="false"/>
                  <w:strike w:val="false"/>
                  <w:dstrike w:val="false"/>
                  <w:color w:val="0000FF"/>
                  <w:sz w:val="18"/>
                  <w:u w:val="none"/>
                  <w:effect w:val="none"/>
                </w:rPr>
                <w:t>15</w:t>
              </w:r>
            </w:hyperlink>
          </w:p>
        </w:tc>
      </w:tr>
      <w:tr>
        <w:trPr/>
        <w:tc>
          <w:tcPr>
            <w:tcW w:w="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bb4eec0dab4063b7a5a162c0b6d974_121">
              <w:r>
                <w:rPr>
                  <w:rStyle w:val="InternetLink"/>
                  <w:rFonts w:ascii="Frutiger LT 45 Light;sans-serif" w:hAnsi="Frutiger LT 45 Light;sans-serif"/>
                  <w:b w:val="false"/>
                  <w:color w:val="3051F2"/>
                  <w:sz w:val="18"/>
                  <w:u w:val="single"/>
                </w:rPr>
                <w:t>Item 3. Quantitative and Qualitative Disclosures About Market Risk</w:t>
              </w:r>
            </w:hyperlink>
          </w:p>
        </w:tc>
        <w:tc>
          <w:tcPr>
            <w:tcW w:w="10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bb4eec0dab4063b7a5a162c0b6d974_121">
              <w:r>
                <w:rPr>
                  <w:rStyle w:val="InternetLink"/>
                  <w:rFonts w:ascii="Frutiger LT 45 Light;sans-serif" w:hAnsi="Frutiger LT 45 Light;sans-serif"/>
                  <w:b w:val="false"/>
                  <w:strike w:val="false"/>
                  <w:dstrike w:val="false"/>
                  <w:color w:val="0000FF"/>
                  <w:sz w:val="18"/>
                  <w:u w:val="none"/>
                  <w:effect w:val="none"/>
                </w:rPr>
                <w:t>33</w:t>
              </w:r>
            </w:hyperlink>
          </w:p>
        </w:tc>
      </w:tr>
      <w:tr>
        <w:trPr/>
        <w:tc>
          <w:tcPr>
            <w:tcW w:w="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bb4eec0dab4063b7a5a162c0b6d974_124">
              <w:r>
                <w:rPr>
                  <w:rStyle w:val="InternetLink"/>
                  <w:rFonts w:ascii="Frutiger LT 45 Light;sans-serif" w:hAnsi="Frutiger LT 45 Light;sans-serif"/>
                  <w:b w:val="false"/>
                  <w:color w:val="3051F2"/>
                  <w:sz w:val="18"/>
                  <w:u w:val="single"/>
                </w:rPr>
                <w:t>Item 4. Controls and Procedures</w:t>
              </w:r>
            </w:hyperlink>
          </w:p>
        </w:tc>
        <w:tc>
          <w:tcPr>
            <w:tcW w:w="10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bb4eec0dab4063b7a5a162c0b6d974_124">
              <w:r>
                <w:rPr>
                  <w:rStyle w:val="InternetLink"/>
                  <w:rFonts w:ascii="Frutiger LT 45 Light;sans-serif" w:hAnsi="Frutiger LT 45 Light;sans-serif"/>
                  <w:b w:val="false"/>
                  <w:strike w:val="false"/>
                  <w:dstrike w:val="false"/>
                  <w:color w:val="0000FF"/>
                  <w:sz w:val="18"/>
                  <w:u w:val="none"/>
                  <w:effect w:val="none"/>
                </w:rPr>
                <w:t>34</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54bb4eec0dab4063b7a5a162c0b6d974_127">
              <w:r>
                <w:rPr>
                  <w:rStyle w:val="InternetLink"/>
                  <w:rFonts w:ascii="Frutiger LT 45 Light;sans-serif" w:hAnsi="Frutiger LT 45 Light;sans-serif"/>
                  <w:b/>
                  <w:strike w:val="false"/>
                  <w:dstrike w:val="false"/>
                  <w:color w:val="000000"/>
                  <w:sz w:val="18"/>
                  <w:u w:val="none"/>
                  <w:effect w:val="none"/>
                </w:rPr>
                <w:t>Part II - Other Information</w:t>
              </w:r>
            </w:hyperlink>
          </w:p>
        </w:tc>
      </w:tr>
      <w:tr>
        <w:trPr/>
        <w:tc>
          <w:tcPr>
            <w:tcW w:w="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bb4eec0dab4063b7a5a162c0b6d974_130">
              <w:r>
                <w:rPr>
                  <w:rStyle w:val="InternetLink"/>
                  <w:rFonts w:ascii="Frutiger LT 45 Light;sans-serif" w:hAnsi="Frutiger LT 45 Light;sans-serif"/>
                  <w:b w:val="false"/>
                  <w:color w:val="3051F2"/>
                  <w:sz w:val="18"/>
                  <w:u w:val="single"/>
                </w:rPr>
                <w:t>Item 1. Legal Proceedings</w:t>
              </w:r>
            </w:hyperlink>
          </w:p>
        </w:tc>
        <w:tc>
          <w:tcPr>
            <w:tcW w:w="10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bb4eec0dab4063b7a5a162c0b6d974_130">
              <w:r>
                <w:rPr>
                  <w:rStyle w:val="InternetLink"/>
                  <w:rFonts w:ascii="Frutiger LT 45 Light;sans-serif" w:hAnsi="Frutiger LT 45 Light;sans-serif"/>
                  <w:b w:val="false"/>
                  <w:strike w:val="false"/>
                  <w:dstrike w:val="false"/>
                  <w:color w:val="0000FF"/>
                  <w:sz w:val="18"/>
                  <w:u w:val="none"/>
                  <w:effect w:val="none"/>
                </w:rPr>
                <w:t>35</w:t>
              </w:r>
            </w:hyperlink>
          </w:p>
        </w:tc>
      </w:tr>
      <w:tr>
        <w:trPr/>
        <w:tc>
          <w:tcPr>
            <w:tcW w:w="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bb4eec0dab4063b7a5a162c0b6d974_133">
              <w:r>
                <w:rPr>
                  <w:rStyle w:val="InternetLink"/>
                  <w:rFonts w:ascii="Frutiger LT 45 Light;sans-serif" w:hAnsi="Frutiger LT 45 Light;sans-serif"/>
                  <w:b w:val="false"/>
                  <w:color w:val="3051F2"/>
                  <w:sz w:val="18"/>
                  <w:u w:val="single"/>
                </w:rPr>
                <w:t>Item 1A. Risk Factors</w:t>
              </w:r>
            </w:hyperlink>
          </w:p>
        </w:tc>
        <w:tc>
          <w:tcPr>
            <w:tcW w:w="10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bb4eec0dab4063b7a5a162c0b6d974_133">
              <w:r>
                <w:rPr>
                  <w:rStyle w:val="InternetLink"/>
                  <w:rFonts w:ascii="Frutiger LT 45 Light;sans-serif" w:hAnsi="Frutiger LT 45 Light;sans-serif"/>
                  <w:b w:val="false"/>
                  <w:strike w:val="false"/>
                  <w:dstrike w:val="false"/>
                  <w:color w:val="0000FF"/>
                  <w:sz w:val="18"/>
                  <w:u w:val="none"/>
                  <w:effect w:val="none"/>
                </w:rPr>
                <w:t>35</w:t>
              </w:r>
            </w:hyperlink>
          </w:p>
        </w:tc>
      </w:tr>
      <w:tr>
        <w:trPr/>
        <w:tc>
          <w:tcPr>
            <w:tcW w:w="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bb4eec0dab4063b7a5a162c0b6d974_136">
              <w:r>
                <w:rPr>
                  <w:rStyle w:val="InternetLink"/>
                  <w:rFonts w:ascii="Frutiger LT 45 Light;sans-serif" w:hAnsi="Frutiger LT 45 Light;sans-serif"/>
                  <w:b w:val="false"/>
                  <w:color w:val="3051F2"/>
                  <w:sz w:val="18"/>
                  <w:u w:val="single"/>
                </w:rPr>
                <w:t>Item 2. Unregistered Sales of Equity Securities and Use of Proceeds</w:t>
              </w:r>
            </w:hyperlink>
          </w:p>
        </w:tc>
        <w:tc>
          <w:tcPr>
            <w:tcW w:w="10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bb4eec0dab4063b7a5a162c0b6d974_136">
              <w:r>
                <w:rPr>
                  <w:rStyle w:val="InternetLink"/>
                  <w:rFonts w:ascii="Frutiger LT 45 Light;sans-serif" w:hAnsi="Frutiger LT 45 Light;sans-serif"/>
                  <w:b w:val="false"/>
                  <w:strike w:val="false"/>
                  <w:dstrike w:val="false"/>
                  <w:color w:val="0000FF"/>
                  <w:sz w:val="18"/>
                  <w:u w:val="none"/>
                  <w:effect w:val="none"/>
                </w:rPr>
                <w:t>35</w:t>
              </w:r>
            </w:hyperlink>
          </w:p>
        </w:tc>
      </w:tr>
      <w:tr>
        <w:trPr/>
        <w:tc>
          <w:tcPr>
            <w:tcW w:w="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bb4eec0dab4063b7a5a162c0b6d974_139">
              <w:r>
                <w:rPr>
                  <w:rStyle w:val="InternetLink"/>
                  <w:rFonts w:ascii="Frutiger LT 45 Light;sans-serif" w:hAnsi="Frutiger LT 45 Light;sans-serif"/>
                  <w:b w:val="false"/>
                  <w:color w:val="3051F2"/>
                  <w:sz w:val="18"/>
                  <w:u w:val="single"/>
                </w:rPr>
                <w:t>Item 5. Other Information</w:t>
              </w:r>
            </w:hyperlink>
          </w:p>
        </w:tc>
        <w:tc>
          <w:tcPr>
            <w:tcW w:w="10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bb4eec0dab4063b7a5a162c0b6d974_139">
              <w:r>
                <w:rPr>
                  <w:rStyle w:val="InternetLink"/>
                  <w:rFonts w:ascii="Frutiger LT 45 Light;sans-serif" w:hAnsi="Frutiger LT 45 Light;sans-serif"/>
                  <w:b w:val="false"/>
                  <w:strike w:val="false"/>
                  <w:dstrike w:val="false"/>
                  <w:color w:val="0000FF"/>
                  <w:sz w:val="18"/>
                  <w:u w:val="none"/>
                  <w:effect w:val="none"/>
                </w:rPr>
                <w:t>35</w:t>
              </w:r>
            </w:hyperlink>
          </w:p>
        </w:tc>
      </w:tr>
      <w:tr>
        <w:trPr/>
        <w:tc>
          <w:tcPr>
            <w:tcW w:w="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bb4eec0dab4063b7a5a162c0b6d974_142">
              <w:r>
                <w:rPr>
                  <w:rStyle w:val="InternetLink"/>
                  <w:rFonts w:ascii="Frutiger LT 45 Light;sans-serif" w:hAnsi="Frutiger LT 45 Light;sans-serif"/>
                  <w:b w:val="false"/>
                  <w:color w:val="3051F2"/>
                  <w:sz w:val="18"/>
                  <w:u w:val="single"/>
                </w:rPr>
                <w:t>Item 6. Exhibits</w:t>
              </w:r>
            </w:hyperlink>
          </w:p>
        </w:tc>
        <w:tc>
          <w:tcPr>
            <w:tcW w:w="10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bb4eec0dab4063b7a5a162c0b6d974_142">
              <w:r>
                <w:rPr>
                  <w:rStyle w:val="InternetLink"/>
                  <w:rFonts w:ascii="Frutiger LT 45 Light;sans-serif" w:hAnsi="Frutiger LT 45 Light;sans-serif"/>
                  <w:b w:val="false"/>
                  <w:strike w:val="false"/>
                  <w:dstrike w:val="false"/>
                  <w:color w:val="0000FF"/>
                  <w:sz w:val="18"/>
                  <w:u w:val="none"/>
                  <w:effect w:val="none"/>
                </w:rPr>
                <w:t>37</w:t>
              </w:r>
            </w:hyperlink>
          </w:p>
        </w:tc>
      </w:tr>
      <w:tr>
        <w:trPr/>
        <w:tc>
          <w:tcPr>
            <w:tcW w:w="9155"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4bb4eec0dab4063b7a5a162c0b6d974_145">
              <w:r>
                <w:rPr>
                  <w:rStyle w:val="InternetLink"/>
                  <w:rFonts w:ascii="Frutiger LT 45 Light;sans-serif" w:hAnsi="Frutiger LT 45 Light;sans-serif"/>
                  <w:b/>
                  <w:strike w:val="false"/>
                  <w:dstrike w:val="false"/>
                  <w:color w:val="000000"/>
                  <w:sz w:val="18"/>
                  <w:u w:val="none"/>
                  <w:effect w:val="none"/>
                </w:rPr>
                <w:t>Signatures</w:t>
              </w:r>
            </w:hyperlink>
          </w:p>
        </w:tc>
        <w:tc>
          <w:tcPr>
            <w:tcW w:w="10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bb4eec0dab4063b7a5a162c0b6d974_145">
              <w:r>
                <w:rPr>
                  <w:rStyle w:val="InternetLink"/>
                  <w:rFonts w:ascii="Frutiger LT 45 Light;sans-serif" w:hAnsi="Frutiger LT 45 Light;sans-serif"/>
                  <w:b w:val="false"/>
                  <w:strike w:val="false"/>
                  <w:dstrike w:val="false"/>
                  <w:color w:val="0000FF"/>
                  <w:sz w:val="18"/>
                  <w:u w:val="none"/>
                  <w:effect w:val="none"/>
                </w:rPr>
                <w:t>38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txbxContent>
                </v:textbox>
                <w10:wrap type="none"/>
              </v:rect>
            </w:pict>
          </mc:Fallback>
        </mc:AlternateContent>
      </w:r>
    </w:p>
    <w:p>
      <w:pPr>
        <w:pStyle w:val="TextBody"/>
        <w:bidi w:val="0"/>
        <w:spacing w:lineRule="auto" w:line="288" w:before="0" w:after="160"/>
        <w:jc w:val="left"/>
        <w:rPr/>
      </w:pPr>
      <w:hyperlink w:anchor="i54bb4eec0dab4063b7a5a162c0b6d974_7">
        <w:r>
          <w:rPr>
            <w:rStyle w:val="InternetLink"/>
          </w:rPr>
          <w:t xml:space="preserve">Table </w:t>
        </w:r>
      </w:hyperlink>
      <w:hyperlink w:anchor="i54bb4eec0dab4063b7a5a162c0b6d974_7">
        <w:r>
          <w:rPr>
            <w:rStyle w:val="InternetLink"/>
          </w:rPr>
          <w:t>of</w:t>
        </w:r>
      </w:hyperlink>
      <w:hyperlink w:anchor="i54bb4eec0dab4063b7a5a162c0b6d974_7">
        <w:r>
          <w:rPr>
            <w:rStyle w:val="InternetLink"/>
          </w:rPr>
          <w:t xml:space="preserve"> Contents</w:t>
        </w:r>
      </w:hyperlink>
    </w:p>
    <w:p>
      <w:pPr>
        <w:pStyle w:val="TextBody"/>
        <w:bidi w:val="0"/>
        <w:spacing w:lineRule="auto" w:line="288" w:before="0" w:after="160"/>
        <w:jc w:val="left"/>
        <w:rPr>
          <w:rFonts w:ascii="Frutiger LT 45 Light;sans-serif" w:hAnsi="Frutiger LT 45 Light;sans-serif"/>
          <w:b/>
          <w:color w:val="000000"/>
          <w:sz w:val="24"/>
        </w:rPr>
      </w:pPr>
      <w:r>
        <w:rPr>
          <w:rFonts w:ascii="Frutiger LT 45 Light;sans-serif" w:hAnsi="Frutiger LT 45 Light;sans-serif"/>
          <w:b/>
          <w:color w:val="000000"/>
          <w:sz w:val="24"/>
        </w:rPr>
        <w:t>Cautionary Note Regarding Forward-Looking Statements</w:t>
      </w:r>
    </w:p>
    <w:p>
      <w:pPr>
        <w:pStyle w:val="TextBody"/>
        <w:bidi w:val="0"/>
        <w:spacing w:lineRule="auto" w:line="288" w:before="0" w:after="160"/>
        <w:jc w:val="left"/>
        <w:rPr/>
      </w:pPr>
      <w:r>
        <w:rPr>
          <w:rFonts w:ascii="Frutiger LT 45 Light;sans-serif" w:hAnsi="Frutiger LT 45 Light;sans-serif"/>
          <w:b w:val="false"/>
          <w:color w:val="000000"/>
          <w:sz w:val="20"/>
          <w:shd w:fill="FFFFFF" w:val="clear"/>
        </w:rPr>
        <w:t xml:space="preserve">We have made statements in this Quarterly Report on Form 10-Q (this “Quarterly Report”) that are forward-looking statements. In some cases, you can identify these statements by forward-looking words such as “may,” “might,” “will,” “should,” “expects,” “plans,” “anticipates,” “believes,” “estimates,” “predicts,” “potential” or “continue,” the negative of these terms and other comparable terminology. These forward-looking statements, which are subject to risks, uncertainties and assumptions about us, may include projections of our future financial performance, our anticipated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those factors discussed under the captions entitled Part I, Item 1A “Risk Factors” in our Annual Report on Form 10-K for the year ended </w:t>
      </w:r>
      <w:r>
        <w:rPr>
          <w:rFonts w:ascii="Frutiger LT 45 Light;sans-serif" w:hAnsi="Frutiger LT 45 Light;sans-serif"/>
          <w:b w:val="false"/>
          <w:color w:val="000000"/>
          <w:sz w:val="20"/>
        </w:rPr>
        <w:t>December 31, 2025</w:t>
      </w:r>
      <w:r>
        <w:rPr>
          <w:color w:val="000000"/>
          <w:shd w:fill="FFFFFF" w:val="clear"/>
        </w:rPr>
        <w:t xml:space="preserve"> </w:t>
      </w:r>
      <w:r>
        <w:rPr>
          <w:rFonts w:ascii="Frutiger LT 45 Light;sans-serif" w:hAnsi="Frutiger LT 45 Light;sans-serif"/>
          <w:b w:val="false"/>
          <w:color w:val="000000"/>
          <w:sz w:val="20"/>
          <w:shd w:fill="FFFFFF" w:val="clear"/>
        </w:rPr>
        <w:t>filed with the Securities and Exchange Commission (“SEC”) on March 10, 2026 (our “Annual Report”) and Part I, Item 2 “Management’s Discussion and Analysis of Financial Condition and Results of Operations” of any subsequent Quarterly Reports on Form 10-Q. Many of these factors have previously been identified in filings or statements made by us or on our behalf.</w:t>
      </w:r>
    </w:p>
    <w:p>
      <w:pPr>
        <w:pStyle w:val="TextBody"/>
        <w:bidi w:val="0"/>
        <w:spacing w:lineRule="auto" w:line="288" w:before="0" w:after="160"/>
        <w:jc w:val="left"/>
        <w:rPr/>
      </w:pPr>
      <w:r>
        <w:rPr>
          <w:rFonts w:ascii="Frutiger LT 45 Light;sans-serif" w:hAnsi="Frutiger LT 45 Light;sans-serif"/>
          <w:b w:val="false"/>
          <w:color w:val="000000"/>
          <w:sz w:val="20"/>
          <w:shd w:fill="FFFFFF" w:val="clear"/>
        </w:rPr>
        <w:t>Although we believe the expectations reflected in the f</w:t>
      </w:r>
      <w:r>
        <w:rPr>
          <w:rFonts w:ascii="Frutiger LT 45 Light;sans-serif" w:hAnsi="Frutiger LT 45 Light;sans-serif"/>
          <w:b w:val="false"/>
          <w:color w:val="000000"/>
          <w:sz w:val="20"/>
        </w:rPr>
        <w:t>orward-looking statements are reasonable, we cannot guarantee future results, level of activity, performance or achievements. Moreover, neither we nor any other person assumes responsibility for the accuracy and completeness of any of these forward-looking statements. We undertake no obligation to publicly update or revise any forward-looking statement, whether as a result of new information, future developments or otherwise, except as may be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45 Light;sans-serif" w:hAnsi="Frutiger LT 45 Light;sans-serif"/>
          <w:b/>
          <w:color w:val="000000"/>
          <w:sz w:val="24"/>
        </w:rPr>
      </w:pPr>
      <w:r>
        <w:rPr>
          <w:rFonts w:ascii="Frutiger LT 45 Light;sans-serif" w:hAnsi="Frutiger LT 45 Light;sans-serif"/>
          <w:b/>
          <w:color w:val="000000"/>
          <w:sz w:val="24"/>
        </w:rPr>
        <w:t>Commonly Used Defined Terms</w:t>
      </w:r>
    </w:p>
    <w:p>
      <w:pPr>
        <w:pStyle w:val="TextBody"/>
        <w:bidi w:val="0"/>
        <w:spacing w:lineRule="auto" w:line="288" w:before="0" w:after="140"/>
        <w:ind w:left="0" w:right="0" w:hanging="360"/>
        <w:jc w:val="left"/>
        <w:rPr/>
      </w:pPr>
      <w:r>
        <w:rPr>
          <w:color w:val="000000"/>
        </w:rPr>
        <w:t>•“</w:t>
      </w:r>
      <w:r>
        <w:rPr>
          <w:rFonts w:ascii="Frutiger LT 45 Light;sans-serif" w:hAnsi="Frutiger LT 45 Light;sans-serif"/>
          <w:b w:val="false"/>
          <w:color w:val="000000"/>
          <w:sz w:val="20"/>
        </w:rPr>
        <w:t xml:space="preserve">we,” “us,” “our,” the “Company,” “TWFG,” and similar references refer to: (i) TWFG, Inc. and, unless otherwise stated or the context otherwise requires, all of its subsidiaries, including TWFG Holding Company, LLC (“TWFG Holding”), for periods following the consummation of certain reorganization transactions (the “Reorganization Transactions”), including our initial public offering (“IPO”), and (ii) TWFG Holding and, unless otherwise stated or the context otherwise requires, all of its subsidiaries, for periods prior to the completion of the Reorganization Transactions, including our IPO; </w:t>
      </w:r>
    </w:p>
    <w:p>
      <w:pPr>
        <w:pStyle w:val="TextBody"/>
        <w:bidi w:val="0"/>
        <w:spacing w:lineRule="auto" w:line="288" w:before="0" w:after="160"/>
        <w:ind w:left="0" w:right="0" w:hanging="360"/>
        <w:jc w:val="left"/>
        <w:rPr/>
      </w:pPr>
      <w:r>
        <w:rPr>
          <w:color w:val="000000"/>
        </w:rPr>
        <w:t>•</w:t>
      </w:r>
      <w:r>
        <w:rPr>
          <w:rFonts w:ascii="Frutiger LT 45 Light;sans-serif" w:hAnsi="Frutiger LT 45 Light;sans-serif"/>
          <w:b w:val="false"/>
          <w:color w:val="000000"/>
          <w:sz w:val="20"/>
        </w:rPr>
        <w:t>Adjusted Diluted Earnings Per Share: Adjusted Net Income divided by diluted shares outstanding after adjusting for the effect of (i) the exchange of 100% of the outstanding Class B common stock of the Company (the “Class B Common Stock”) and Class C common stock of the Company (the “Class C Common Stock”) (together with the related limited liability company units of TWFG Holding (the “LLC Units”)) into shares of Class A common stock of the Company (“Class A Common Stock”) and (ii) the vesting of 100% of the unvested equity awards and exchange into shares of Class A Common Stock;</w:t>
      </w:r>
    </w:p>
    <w:p>
      <w:pPr>
        <w:pStyle w:val="TextBody"/>
        <w:bidi w:val="0"/>
        <w:spacing w:lineRule="auto" w:line="288" w:before="0" w:after="160"/>
        <w:ind w:left="0" w:right="0" w:hanging="360"/>
        <w:jc w:val="left"/>
        <w:rPr/>
      </w:pPr>
      <w:r>
        <w:rPr>
          <w:color w:val="000000"/>
        </w:rPr>
        <w:t>•</w:t>
      </w:r>
      <w:r>
        <w:rPr>
          <w:rFonts w:ascii="Frutiger LT 45 Light;sans-serif" w:hAnsi="Frutiger LT 45 Light;sans-serif"/>
          <w:b w:val="false"/>
          <w:color w:val="000000"/>
          <w:sz w:val="20"/>
        </w:rPr>
        <w:t>Adjusted EBITDA: EBITDA adjusted to exclude equity-based compensation and other non-operating items, including certain nonrecurring or non-operating gains or losses</w:t>
      </w:r>
      <w:r>
        <w:rPr>
          <w:rFonts w:ascii="Frutiger LT 45 Light;sans-serif" w:hAnsi="Frutiger LT 45 Light;sans-serif"/>
          <w:b w:val="false"/>
          <w:color w:val="000000"/>
          <w:sz w:val="20"/>
          <w:shd w:fill="FFFFFF" w:val="clear"/>
        </w:rPr>
        <w:t>;</w:t>
      </w:r>
    </w:p>
    <w:p>
      <w:pPr>
        <w:pStyle w:val="TextBody"/>
        <w:bidi w:val="0"/>
        <w:spacing w:lineRule="auto" w:line="288" w:before="0" w:after="160"/>
        <w:ind w:left="0" w:right="0" w:hanging="360"/>
        <w:jc w:val="left"/>
        <w:rPr/>
      </w:pPr>
      <w:r>
        <w:rPr>
          <w:color w:val="000000"/>
        </w:rPr>
        <w:t>•</w:t>
      </w:r>
      <w:r>
        <w:rPr>
          <w:rFonts w:ascii="Frutiger LT 45 Light;sans-serif" w:hAnsi="Frutiger LT 45 Light;sans-serif"/>
          <w:b w:val="false"/>
          <w:color w:val="000000"/>
          <w:sz w:val="20"/>
        </w:rPr>
        <w:t>Adjusted EBITDA Margin: Adjusted EBITDA divided by total revenues;</w:t>
      </w:r>
    </w:p>
    <w:p>
      <w:pPr>
        <w:pStyle w:val="TextBody"/>
        <w:bidi w:val="0"/>
        <w:spacing w:lineRule="auto" w:line="288" w:before="0" w:after="160"/>
        <w:ind w:left="0" w:right="0" w:hanging="360"/>
        <w:jc w:val="left"/>
        <w:rPr/>
      </w:pPr>
      <w:r>
        <w:rPr>
          <w:color w:val="000000"/>
        </w:rPr>
        <w:t>•</w:t>
      </w:r>
      <w:r>
        <w:rPr>
          <w:rFonts w:ascii="Frutiger LT 45 Light;sans-serif" w:hAnsi="Frutiger LT 45 Light;sans-serif"/>
          <w:b w:val="false"/>
          <w:color w:val="000000"/>
          <w:sz w:val="20"/>
        </w:rPr>
        <w:t>Adjusted Free Cash Flow: Cash flow from operating activities (the most directly comparable GAAP measure) less cash payments for tax distributions, purchases of property and equipment and acquisition-related cos</w:t>
      </w:r>
      <w:r>
        <w:rPr>
          <w:rFonts w:ascii="Frutiger LT 45 Light;sans-serif" w:hAnsi="Frutiger LT 45 Light;sans-serif"/>
          <w:b w:val="false"/>
          <w:color w:val="000000"/>
          <w:sz w:val="20"/>
          <w:shd w:fill="FFFFFF" w:val="clear"/>
        </w:rPr>
        <w:t>ts;</w:t>
      </w:r>
    </w:p>
    <w:p>
      <w:pPr>
        <w:pStyle w:val="TextBody"/>
        <w:bidi w:val="0"/>
        <w:spacing w:lineRule="auto" w:line="288" w:before="0" w:after="160"/>
        <w:ind w:left="0" w:right="0" w:hanging="360"/>
        <w:jc w:val="left"/>
        <w:rPr/>
      </w:pPr>
      <w:r>
        <w:rPr>
          <w:color w:val="000000"/>
          <w:shd w:fill="FFFFFF" w:val="clear"/>
        </w:rPr>
        <w:t>•</w:t>
      </w:r>
      <w:r>
        <w:rPr>
          <w:rFonts w:ascii="Frutiger LT 45 Light;sans-serif" w:hAnsi="Frutiger LT 45 Light;sans-serif"/>
          <w:b w:val="false"/>
          <w:color w:val="000000"/>
          <w:sz w:val="20"/>
          <w:shd w:fill="FFFFFF" w:val="clear"/>
        </w:rPr>
        <w:t>Adjusted Net Income: Net income (the most directly comparable GAAP measure) before amortization, non-recurring or non-operating income an</w:t>
      </w:r>
      <w:r>
        <w:rPr>
          <w:rFonts w:ascii="Frutiger LT 45 Light;sans-serif" w:hAnsi="Frutiger LT 45 Light;sans-serif"/>
          <w:b w:val="false"/>
          <w:color w:val="000000"/>
          <w:sz w:val="20"/>
        </w:rPr>
        <w:t>d expenses, including equity-based compensation, adjusted to assume a single class of stock (Class A) and assuming noncontrolling interests do not exist;</w:t>
      </w:r>
    </w:p>
    <w:p>
      <w:pPr>
        <w:pStyle w:val="TextBody"/>
        <w:bidi w:val="0"/>
        <w:spacing w:lineRule="auto" w:line="288" w:before="0" w:after="160"/>
        <w:ind w:left="0" w:right="0" w:hanging="360"/>
        <w:jc w:val="left"/>
        <w:rPr/>
      </w:pPr>
      <w:r>
        <w:rPr>
          <w:color w:val="000000"/>
        </w:rPr>
        <w:t>•</w:t>
      </w:r>
      <w:r>
        <w:rPr>
          <w:rFonts w:ascii="Frutiger LT 45 Light;sans-serif" w:hAnsi="Frutiger LT 45 Light;sans-serif"/>
          <w:b w:val="false"/>
          <w:color w:val="000000"/>
          <w:sz w:val="20"/>
        </w:rPr>
        <w:t>Adjusted Net Income Margin: Adjusted Net Income divided by total revenues;</w:t>
      </w:r>
    </w:p>
    <w:p>
      <w:pPr>
        <w:pStyle w:val="TextBody"/>
        <w:bidi w:val="0"/>
        <w:spacing w:lineRule="auto" w:line="288" w:before="0" w:after="140"/>
        <w:ind w:left="0" w:right="0" w:hanging="360"/>
        <w:jc w:val="left"/>
        <w:rPr/>
      </w:pPr>
      <w:r>
        <w:rPr>
          <w:color w:val="000000"/>
        </w:rPr>
        <w:t>•</w:t>
      </w:r>
      <w:r>
        <w:rPr>
          <w:rFonts w:ascii="Frutiger LT 45 Light;sans-serif" w:hAnsi="Frutiger LT 45 Light;sans-serif"/>
          <w:b w:val="false"/>
          <w:color w:val="000000"/>
          <w:sz w:val="20"/>
        </w:rPr>
        <w:t>Admitted: The insurance market comprising insurance carriers licensed to write business on an “admitted” basis by the insurance commissioner of the state in which the risk is located. Insurance rates and forms in this market are highly regulated by each state and coverages are largely uniform;</w:t>
      </w:r>
    </w:p>
    <w:p>
      <w:pPr>
        <w:pStyle w:val="TextBody"/>
        <w:bidi w:val="0"/>
        <w:spacing w:lineRule="auto" w:line="288" w:before="0" w:after="140"/>
        <w:ind w:left="0" w:right="0" w:hanging="360"/>
        <w:jc w:val="left"/>
        <w:rPr/>
      </w:pPr>
      <w:r>
        <w:rPr>
          <w:color w:val="000000"/>
        </w:rPr>
        <w:t>•</w:t>
      </w:r>
      <w:r>
        <w:rPr>
          <w:rFonts w:ascii="Frutiger LT 45 Light;sans-serif" w:hAnsi="Frutiger LT 45 Light;sans-serif"/>
          <w:b w:val="false"/>
          <w:color w:val="000000"/>
          <w:sz w:val="20"/>
        </w:rPr>
        <w:t>Book of Business: Active Client list;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7955"/>
                <wp:effectExtent l="0" t="0" r="0" b="0"/>
                <wp:wrapNone/>
                <wp:docPr id="4" name="Frame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i</w:t>
                      </w:r>
                    </w:p>
                  </w:txbxContent>
                </v:textbox>
                <w10:wrap type="none"/>
              </v:rect>
            </w:pict>
          </mc:Fallback>
        </mc:AlternateContent>
      </w:r>
    </w:p>
    <w:p>
      <w:pPr>
        <w:pStyle w:val="TextBody"/>
        <w:bidi w:val="0"/>
        <w:spacing w:lineRule="auto" w:line="288" w:before="0" w:after="160"/>
        <w:jc w:val="left"/>
        <w:rPr/>
      </w:pPr>
      <w:hyperlink w:anchor="i54bb4eec0dab4063b7a5a162c0b6d974_7">
        <w:r>
          <w:rPr>
            <w:rStyle w:val="InternetLink"/>
          </w:rPr>
          <w:t xml:space="preserve">Table </w:t>
        </w:r>
      </w:hyperlink>
      <w:hyperlink w:anchor="i54bb4eec0dab4063b7a5a162c0b6d974_7">
        <w:r>
          <w:rPr>
            <w:rStyle w:val="InternetLink"/>
          </w:rPr>
          <w:t>of</w:t>
        </w:r>
      </w:hyperlink>
      <w:hyperlink w:anchor="i54bb4eec0dab4063b7a5a162c0b6d974_7">
        <w:r>
          <w:rPr>
            <w:rStyle w:val="InternetLink"/>
          </w:rPr>
          <w:t xml:space="preserve"> Contents</w:t>
        </w:r>
      </w:hyperlink>
    </w:p>
    <w:p>
      <w:pPr>
        <w:pStyle w:val="TextBody"/>
        <w:bidi w:val="0"/>
        <w:spacing w:lineRule="auto" w:line="288" w:before="0" w:after="140"/>
        <w:ind w:left="0" w:right="0" w:hanging="360"/>
        <w:jc w:val="left"/>
        <w:rPr/>
      </w:pPr>
      <w:r>
        <w:rPr>
          <w:color w:val="000000"/>
        </w:rPr>
        <w:t>•</w:t>
      </w:r>
      <w:r>
        <w:rPr>
          <w:rFonts w:ascii="Frutiger LT 45 Light;sans-serif" w:hAnsi="Frutiger LT 45 Light;sans-serif"/>
          <w:b w:val="false"/>
          <w:color w:val="000000"/>
          <w:sz w:val="20"/>
        </w:rPr>
        <w:t xml:space="preserve">Branch: An independent agency that contracts with our Insurance Services offering, operates its agency through TWFG’s “Agency-in-a-Box” and with TWFG’s branding, and receives all benefits of working with TWFG, including a work and revenue share, TWFG back-office support, marketing and access to a fully integrated agency management system. TWFG branding is restricted to the Branches and Corporate Branches, all of which are listed on our website and can be found using the location filter. Branches and Corporate Branches are exclusive to TWFG, meaning that they can only write certain insurance business through TWFG; </w:t>
      </w:r>
    </w:p>
    <w:p>
      <w:pPr>
        <w:pStyle w:val="TextBody"/>
        <w:bidi w:val="0"/>
        <w:spacing w:lineRule="auto" w:line="288" w:before="0" w:after="140"/>
        <w:ind w:left="0" w:right="0" w:hanging="360"/>
        <w:jc w:val="left"/>
        <w:rPr/>
      </w:pPr>
      <w:r>
        <w:rPr>
          <w:color w:val="000000"/>
        </w:rPr>
        <w:t>•</w:t>
      </w:r>
      <w:r>
        <w:rPr>
          <w:rFonts w:ascii="Frutiger LT 45 Light;sans-serif" w:hAnsi="Frutiger LT 45 Light;sans-serif"/>
          <w:b w:val="false"/>
          <w:color w:val="000000"/>
          <w:sz w:val="20"/>
        </w:rPr>
        <w:t>Client: Individual or entity that purchases an insurance policy or seeks to purchase an insurance policy from TWFG Agencies;</w:t>
      </w:r>
    </w:p>
    <w:p>
      <w:pPr>
        <w:pStyle w:val="TextBody"/>
        <w:bidi w:val="0"/>
        <w:spacing w:lineRule="auto" w:line="288" w:before="0" w:after="140"/>
        <w:ind w:left="0" w:right="0" w:hanging="360"/>
        <w:jc w:val="left"/>
        <w:rPr/>
      </w:pPr>
      <w:r>
        <w:rPr>
          <w:color w:val="000000"/>
        </w:rPr>
        <w:t>•</w:t>
      </w:r>
      <w:r>
        <w:rPr>
          <w:rFonts w:ascii="Frutiger LT 45 Light;sans-serif" w:hAnsi="Frutiger LT 45 Light;sans-serif"/>
          <w:b w:val="false"/>
          <w:color w:val="000000"/>
          <w:sz w:val="20"/>
        </w:rPr>
        <w:t>Corporate Branch: An agency within our Insurance Services offering that is wholly owned by TWFG;</w:t>
      </w:r>
    </w:p>
    <w:p>
      <w:pPr>
        <w:pStyle w:val="TextBody"/>
        <w:bidi w:val="0"/>
        <w:spacing w:lineRule="auto" w:line="288" w:before="0" w:after="160"/>
        <w:ind w:left="0" w:right="0" w:hanging="360"/>
        <w:jc w:val="left"/>
        <w:rPr/>
      </w:pPr>
      <w:r>
        <w:rPr>
          <w:color w:val="000000"/>
        </w:rPr>
        <w:t>•</w:t>
      </w:r>
      <w:r>
        <w:rPr>
          <w:rFonts w:ascii="Frutiger LT 45 Light;sans-serif" w:hAnsi="Frutiger LT 45 Light;sans-serif"/>
          <w:b w:val="false"/>
          <w:color w:val="000000"/>
          <w:sz w:val="20"/>
        </w:rPr>
        <w:t>EBITDA: Earnings before interest, income taxes, depreciation and amortization;</w:t>
      </w:r>
    </w:p>
    <w:p>
      <w:pPr>
        <w:pStyle w:val="TextBody"/>
        <w:bidi w:val="0"/>
        <w:spacing w:lineRule="auto" w:line="288" w:before="0" w:after="160"/>
        <w:ind w:left="0" w:right="0" w:hanging="360"/>
        <w:jc w:val="left"/>
        <w:rPr/>
      </w:pPr>
      <w:r>
        <w:rPr>
          <w:color w:val="000000"/>
        </w:rPr>
        <w:t>•</w:t>
      </w:r>
      <w:r>
        <w:rPr>
          <w:rFonts w:ascii="Frutiger LT 45 Light;sans-serif" w:hAnsi="Frutiger LT 45 Light;sans-serif"/>
          <w:b w:val="false"/>
          <w:color w:val="000000"/>
          <w:sz w:val="20"/>
        </w:rPr>
        <w:t>M&amp;A: Mergers and acquisitions;</w:t>
      </w:r>
    </w:p>
    <w:p>
      <w:pPr>
        <w:pStyle w:val="TextBody"/>
        <w:bidi w:val="0"/>
        <w:spacing w:lineRule="auto" w:line="288" w:before="0" w:after="160"/>
        <w:ind w:left="0" w:right="0" w:hanging="360"/>
        <w:jc w:val="left"/>
        <w:rPr/>
      </w:pPr>
      <w:r>
        <w:rPr>
          <w:color w:val="000000"/>
        </w:rPr>
        <w:t>•</w:t>
      </w:r>
      <w:r>
        <w:rPr>
          <w:rFonts w:ascii="Frutiger LT 45 Light;sans-serif" w:hAnsi="Frutiger LT 45 Light;sans-serif"/>
          <w:b w:val="false"/>
          <w:color w:val="000000"/>
          <w:sz w:val="20"/>
        </w:rPr>
        <w:t>MGA: Managing general agency;</w:t>
      </w:r>
    </w:p>
    <w:p>
      <w:pPr>
        <w:pStyle w:val="TextBody"/>
        <w:bidi w:val="0"/>
        <w:spacing w:lineRule="auto" w:line="288" w:before="0" w:after="160"/>
        <w:ind w:left="0" w:right="0" w:hanging="360"/>
        <w:jc w:val="left"/>
        <w:rPr/>
      </w:pPr>
      <w:r>
        <w:rPr>
          <w:color w:val="000000"/>
        </w:rPr>
        <w:t>•</w:t>
      </w:r>
      <w:r>
        <w:rPr>
          <w:rFonts w:ascii="Frutiger LT 45 Light;sans-serif" w:hAnsi="Frutiger LT 45 Light;sans-serif"/>
          <w:b w:val="false"/>
          <w:color w:val="000000"/>
          <w:sz w:val="20"/>
        </w:rPr>
        <w:t>MGA Agencies: Independent agencies that contract with TWFG MGA to obtain access to additional insurance carriers or programs. TWFG MGA Agencies do not include TWFG branding and are not exclusive to TWFG;</w:t>
      </w:r>
    </w:p>
    <w:p>
      <w:pPr>
        <w:pStyle w:val="TextBody"/>
        <w:bidi w:val="0"/>
        <w:spacing w:lineRule="auto" w:line="288" w:before="0" w:after="160"/>
        <w:ind w:left="0" w:right="0" w:hanging="360"/>
        <w:jc w:val="left"/>
        <w:rPr/>
      </w:pPr>
      <w:r>
        <w:rPr>
          <w:color w:val="000000"/>
        </w:rPr>
        <w:t>•</w:t>
      </w:r>
      <w:r>
        <w:rPr>
          <w:rFonts w:ascii="Frutiger LT 45 Light;sans-serif" w:hAnsi="Frutiger LT 45 Light;sans-serif"/>
          <w:b w:val="false"/>
          <w:color w:val="000000"/>
          <w:sz w:val="20"/>
        </w:rPr>
        <w:t xml:space="preserve">Organic Revenue: Total revenues (the most directly comparable GAAP measure) for the relevant period, excluding contingent income, non-policy fee income, other income and those revenues generated from acquired businesses; </w:t>
      </w:r>
    </w:p>
    <w:p>
      <w:pPr>
        <w:pStyle w:val="TextBody"/>
        <w:bidi w:val="0"/>
        <w:spacing w:lineRule="auto" w:line="288" w:before="0" w:after="160"/>
        <w:ind w:left="0" w:right="0" w:hanging="360"/>
        <w:jc w:val="left"/>
        <w:rPr/>
      </w:pPr>
      <w:r>
        <w:rPr>
          <w:color w:val="000000"/>
        </w:rPr>
        <w:t>•</w:t>
      </w:r>
      <w:r>
        <w:rPr>
          <w:rFonts w:ascii="Frutiger LT 45 Light;sans-serif" w:hAnsi="Frutiger LT 45 Light;sans-serif"/>
          <w:b w:val="false"/>
          <w:color w:val="000000"/>
          <w:sz w:val="20"/>
        </w:rPr>
        <w:t>Organic Revenue Growth: Organic Revenue Growth is the change in Organic Revenue period-to-period;</w:t>
      </w:r>
    </w:p>
    <w:p>
      <w:pPr>
        <w:pStyle w:val="TextBody"/>
        <w:bidi w:val="0"/>
        <w:spacing w:lineRule="auto" w:line="288" w:before="0" w:after="160"/>
        <w:ind w:left="0" w:right="0" w:hanging="360"/>
        <w:jc w:val="left"/>
        <w:rPr/>
      </w:pPr>
      <w:r>
        <w:rPr>
          <w:color w:val="000000"/>
        </w:rPr>
        <w:t>•</w:t>
      </w:r>
      <w:r>
        <w:rPr>
          <w:rFonts w:ascii="Frutiger LT 45 Light;sans-serif" w:hAnsi="Frutiger LT 45 Light;sans-serif"/>
          <w:b w:val="false"/>
          <w:color w:val="000000"/>
          <w:sz w:val="20"/>
        </w:rPr>
        <w:t>P&amp;C: Property and casualty insurance;</w:t>
      </w:r>
    </w:p>
    <w:p>
      <w:pPr>
        <w:pStyle w:val="TextBody"/>
        <w:bidi w:val="0"/>
        <w:spacing w:lineRule="auto" w:line="288" w:before="0" w:after="160"/>
        <w:ind w:left="0" w:right="0" w:hanging="360"/>
        <w:jc w:val="left"/>
        <w:rPr/>
      </w:pPr>
      <w:r>
        <w:rPr>
          <w:color w:val="000000"/>
        </w:rPr>
        <w:t>•</w:t>
      </w:r>
      <w:r>
        <w:rPr>
          <w:rFonts w:ascii="Frutiger LT 45 Light;sans-serif" w:hAnsi="Frutiger LT 45 Light;sans-serif"/>
          <w:b w:val="false"/>
          <w:color w:val="000000"/>
          <w:sz w:val="20"/>
        </w:rPr>
        <w:t>Total Written Premium: The total amount of current premium (net of cancellations) placed with insurance carriers;</w:t>
      </w:r>
    </w:p>
    <w:p>
      <w:pPr>
        <w:pStyle w:val="TextBody"/>
        <w:bidi w:val="0"/>
        <w:spacing w:lineRule="auto" w:line="288" w:before="0" w:after="160"/>
        <w:ind w:left="0" w:right="0" w:hanging="360"/>
        <w:jc w:val="left"/>
        <w:rPr/>
      </w:pPr>
      <w:r>
        <w:rPr>
          <w:color w:val="000000"/>
        </w:rPr>
        <w:t>•</w:t>
      </w:r>
      <w:r>
        <w:rPr>
          <w:rFonts w:ascii="Frutiger LT 45 Light;sans-serif" w:hAnsi="Frutiger LT 45 Light;sans-serif"/>
          <w:b w:val="false"/>
          <w:color w:val="000000"/>
          <w:sz w:val="20"/>
        </w:rPr>
        <w:t>TWFG Agencies: Branches, Corporate Branches and MGA Agencies; and</w:t>
      </w:r>
    </w:p>
    <w:p>
      <w:pPr>
        <w:pStyle w:val="TextBody"/>
        <w:bidi w:val="0"/>
        <w:spacing w:lineRule="auto" w:line="288" w:before="0" w:after="160"/>
        <w:ind w:left="0" w:right="0" w:hanging="360"/>
        <w:jc w:val="left"/>
        <w:rPr/>
      </w:pPr>
      <w:r>
        <w:rPr>
          <w:color w:val="000000"/>
        </w:rPr>
        <w:t>•</w:t>
      </w:r>
      <w:r>
        <w:rPr>
          <w:rFonts w:ascii="Frutiger LT 45 Light;sans-serif" w:hAnsi="Frutiger LT 45 Light;sans-serif"/>
          <w:b w:val="false"/>
          <w:color w:val="000000"/>
          <w:sz w:val="20"/>
        </w:rPr>
        <w:t>TWFG MGA: TWFG’s managing general agency.</w:t>
      </w:r>
    </w:p>
    <w:p>
      <w:pPr>
        <w:pStyle w:val="TextBody"/>
        <w:bidi w:val="0"/>
        <w:spacing w:before="0" w:after="160"/>
        <w:jc w:val="left"/>
        <w:rPr/>
      </w:pPr>
      <w:r>
        <w:rPr/>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7955"/>
                <wp:effectExtent l="0" t="0" r="0" b="0"/>
                <wp:wrapNone/>
                <wp:docPr id="5" name="Frame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ii</w:t>
                      </w:r>
                    </w:p>
                  </w:txbxContent>
                </v:textbox>
                <w10:wrap type="none"/>
              </v:rect>
            </w:pict>
          </mc:Fallback>
        </mc:AlternateContent>
      </w:r>
    </w:p>
    <w:p>
      <w:pPr>
        <w:pStyle w:val="TextBody"/>
        <w:bidi w:val="0"/>
        <w:spacing w:lineRule="auto" w:line="288" w:before="0" w:after="160"/>
        <w:jc w:val="left"/>
        <w:rPr/>
      </w:pPr>
      <w:hyperlink w:anchor="i54bb4eec0dab4063b7a5a162c0b6d974_7">
        <w:r>
          <w:rPr>
            <w:rStyle w:val="InternetLink"/>
          </w:rPr>
          <w:t xml:space="preserve">Table </w:t>
        </w:r>
      </w:hyperlink>
      <w:hyperlink w:anchor="i54bb4eec0dab4063b7a5a162c0b6d974_7">
        <w:r>
          <w:rPr>
            <w:rStyle w:val="InternetLink"/>
          </w:rPr>
          <w:t>of</w:t>
        </w:r>
      </w:hyperlink>
      <w:hyperlink w:anchor="i54bb4eec0dab4063b7a5a162c0b6d974_7">
        <w:r>
          <w:rPr>
            <w:rStyle w:val="InternetLink"/>
          </w:rPr>
          <w:t xml:space="preserve"> Contents</w:t>
        </w:r>
      </w:hyperlink>
    </w:p>
    <w:p>
      <w:pPr>
        <w:pStyle w:val="TextBody"/>
        <w:bidi w:val="0"/>
        <w:spacing w:lineRule="auto" w:line="288" w:before="0" w:after="160"/>
        <w:jc w:val="left"/>
        <w:rPr>
          <w:rFonts w:ascii="Frutiger LT 45 Light;sans-serif" w:hAnsi="Frutiger LT 45 Light;sans-serif"/>
          <w:b/>
          <w:color w:val="000000"/>
          <w:sz w:val="24"/>
        </w:rPr>
      </w:pPr>
      <w:r>
        <w:rPr>
          <w:rFonts w:ascii="Frutiger LT 45 Light;sans-serif" w:hAnsi="Frutiger LT 45 Light;sans-serif"/>
          <w:b/>
          <w:color w:val="000000"/>
          <w:sz w:val="24"/>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Frutiger LT 45 Light;sans-serif" w:hAnsi="Frutiger LT 45 Light;sans-serif"/>
          <w:b/>
          <w:color w:val="000000"/>
          <w:sz w:val="24"/>
        </w:rPr>
        <w:t>Item 1.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Frutiger LT 45 Light;sans-serif" w:hAnsi="Frutiger LT 45 Light;sans-serif"/>
          <w:b/>
          <w:color w:val="000000"/>
          <w:sz w:val="24"/>
        </w:rPr>
      </w:pPr>
      <w:r>
        <w:rPr>
          <w:rFonts w:ascii="Frutiger LT 45 Light;sans-serif" w:hAnsi="Frutiger LT 45 Light;sans-serif"/>
          <w:b/>
          <w:color w:val="000000"/>
          <w:sz w:val="24"/>
        </w:rPr>
        <w:t>TWFG, Inc.</w:t>
      </w:r>
    </w:p>
    <w:p>
      <w:pPr>
        <w:pStyle w:val="TextBody"/>
        <w:bidi w:val="0"/>
        <w:spacing w:lineRule="auto" w:line="288" w:before="0" w:after="0"/>
        <w:jc w:val="center"/>
        <w:rPr>
          <w:rFonts w:ascii="Frutiger LT 45 Light;sans-serif" w:hAnsi="Frutiger LT 45 Light;sans-serif"/>
          <w:b/>
          <w:color w:val="000000"/>
          <w:sz w:val="24"/>
        </w:rPr>
      </w:pPr>
      <w:r>
        <w:rPr>
          <w:rFonts w:ascii="Frutiger LT 45 Light;sans-serif" w:hAnsi="Frutiger LT 45 Light;sans-serif"/>
          <w:b/>
          <w:color w:val="000000"/>
          <w:sz w:val="24"/>
        </w:rPr>
        <w:t>Condensed Consolidated Statements of Income</w:t>
      </w:r>
    </w:p>
    <w:p>
      <w:pPr>
        <w:pStyle w:val="TextBody"/>
        <w:bidi w:val="0"/>
        <w:spacing w:lineRule="auto" w:line="288" w:before="0" w:after="0"/>
        <w:jc w:val="center"/>
        <w:rPr>
          <w:rFonts w:ascii="Frutiger LT 45 Light;sans-serif" w:hAnsi="Frutiger LT 45 Light;sans-serif"/>
          <w:b w:val="false"/>
          <w:i/>
          <w:color w:val="000000"/>
          <w:sz w:val="20"/>
        </w:rPr>
      </w:pPr>
      <w:r>
        <w:rPr>
          <w:rFonts w:ascii="Frutiger LT 45 Light;sans-serif" w:hAnsi="Frutiger LT 45 Light;sans-serif"/>
          <w:b w:val="false"/>
          <w:i/>
          <w:color w:val="000000"/>
          <w:sz w:val="20"/>
        </w:rPr>
        <w:t>(Amounts in thousands, except share and per share data)</w:t>
      </w:r>
    </w:p>
    <w:p>
      <w:pPr>
        <w:pStyle w:val="TextBody"/>
        <w:bidi w:val="0"/>
        <w:spacing w:lineRule="auto" w:line="288" w:before="0" w:after="160"/>
        <w:jc w:val="center"/>
        <w:rPr>
          <w:rFonts w:ascii="Frutiger LT 45 Light;sans-serif" w:hAnsi="Frutiger LT 45 Light;sans-serif"/>
          <w:b w:val="false"/>
          <w:i/>
          <w:color w:val="000000"/>
          <w:sz w:val="20"/>
        </w:rPr>
      </w:pPr>
      <w:r>
        <w:rPr>
          <w:rFonts w:ascii="Frutiger LT 45 Light;sans-serif" w:hAnsi="Frutiger LT 45 Light;sans-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911"/>
        <w:gridCol w:w="1575"/>
        <w:gridCol w:w="1589"/>
        <w:gridCol w:w="223"/>
        <w:gridCol w:w="738"/>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55"/>
      </w:tblGrid>
      <w:tr>
        <w:trPr/>
        <w:tc>
          <w:tcPr>
            <w:tcW w:w="1911"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7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Three Months Ended</w:t>
              <w:br/>
              <w:t>June 30,</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Six Months Ended</w:t>
              <w:br/>
              <w:t>June 30,</w:t>
            </w:r>
          </w:p>
        </w:tc>
      </w:tr>
      <w:tr>
        <w:trPr/>
        <w:tc>
          <w:tcPr>
            <w:tcW w:w="5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2025</w:t>
            </w:r>
          </w:p>
        </w:tc>
      </w:tr>
      <w:tr>
        <w:trPr/>
        <w:tc>
          <w:tcPr>
            <w:tcW w:w="5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4"/>
              </w:rPr>
            </w:pPr>
            <w:r>
              <w:rPr>
                <w:rFonts w:ascii="Frutiger LT 45 Light;sans-serif" w:hAnsi="Frutiger LT 45 Light;sans-serif"/>
                <w:b/>
                <w:color w:val="000000"/>
                <w:sz w:val="14"/>
              </w:rPr>
              <w:t>Revenues</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Commission income (related party of $4,070 and $2,784 for the three months ended and $8,348 and $5,918 for the six months ended June 30, 2026 and 2025, respectively)</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80,643 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54,562 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147,694 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103,347 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14"/>
              </w:rPr>
            </w:pPr>
            <w:bookmarkStart w:id="0" w:name="i36fdeb778fd64bc7bda44eba458a5bcf_4-0-1-"/>
            <w:bookmarkEnd w:id="0"/>
            <w:r>
              <w:rPr>
                <w:rFonts w:ascii="Frutiger LT 45 Light;sans-serif" w:hAnsi="Frutiger LT 45 Light;sans-serif"/>
                <w:b w:val="false"/>
                <w:color w:val="000000"/>
                <w:sz w:val="14"/>
              </w:rPr>
              <w:t>Contingent income (related party of $125 and $250 for the three and six months ended June 30, 2026 and none for the three and six months ended June 30, 2025, respectively)</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4,102 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3,696 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0"/>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Fee income (related party of $947 and $893 for the three months ended and $1,843 and $1,727 for the six months ended June 30, 2026 and 2025, respectively)</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4,165 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3,329 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7,513 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6,340 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Other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748 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4"/>
              </w:rPr>
            </w:pPr>
            <w:r>
              <w:rPr>
                <w:rFonts w:ascii="Frutiger LT 45 Light;sans-serif" w:hAnsi="Frutiger LT 45 Light;sans-serif"/>
                <w:b/>
                <w:color w:val="000000"/>
                <w:sz w:val="14"/>
              </w:rPr>
              <w:t>Total revenues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87,511 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60,308 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160,352 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114,131 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4"/>
              </w:rPr>
            </w:pPr>
            <w:r>
              <w:rPr>
                <w:rFonts w:ascii="Frutiger LT 45 Light;sans-serif" w:hAnsi="Frutiger LT 45 Light;sans-serif"/>
                <w:b/>
                <w:color w:val="000000"/>
                <w:sz w:val="14"/>
              </w:rPr>
              <w:t>Expenses</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Commission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42,491 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34,151 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79,521 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65,965 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Salaries and employee benefits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11,781 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9,493 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21,682 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17,689 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Other administrative expenses (related party of $851 and $779 for the three months ended and $1,692 and $1,549 for the six months ended June 30, 2026 and 2025, respectively)</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8,587 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5,400 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15,977 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10,124 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Depreciation and amortization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7,065 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3,901 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13,234 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7,260 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Frutiger LT 45 Light;sans-serif" w:hAnsi="Frutiger LT 45 Light;sans-serif"/>
                <w:b/>
                <w:color w:val="000000"/>
                <w:sz w:val="14"/>
              </w:rPr>
              <w:t>Total operating expenses</w:t>
            </w:r>
            <w:r>
              <w:rPr>
                <w:color w:val="000000"/>
              </w:rPr>
              <w:t xml:space="preserve"> </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69,924 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52,945 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130,414 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101,038 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Frutiger LT 45 Light;sans-serif" w:hAnsi="Frutiger LT 45 Light;sans-serif"/>
                <w:b/>
                <w:color w:val="000000"/>
                <w:sz w:val="14"/>
              </w:rPr>
              <w:t>Operating income</w:t>
            </w:r>
            <w:r>
              <w:rPr>
                <w:color w:val="000000"/>
              </w:rPr>
              <w:t xml:space="preserve"> </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17,587 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7,363 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29,938 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13,093 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Interest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(151)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Interest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3,614 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Other non-operating income (expense), net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573 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Income before tax</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18,282 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9,620 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32,494 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17,129 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Income tax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1,276 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7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Frutiger LT 45 Light;sans-serif" w:hAnsi="Frutiger LT 45 Light;sans-serif"/>
                <w:b/>
                <w:color w:val="000000"/>
                <w:sz w:val="14"/>
              </w:rPr>
              <w:t>Net income</w:t>
            </w:r>
            <w:r>
              <w:rPr>
                <w:color w:val="000000"/>
              </w:rPr>
              <w:t xml:space="preserve"> </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17,251 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9,000 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30,330 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15,853 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Less: net income attributable to noncontrolling interests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14,880 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7,043 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26,202 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12,558 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4"/>
              </w:rPr>
            </w:pPr>
            <w:r>
              <w:rPr>
                <w:rFonts w:ascii="Frutiger LT 45 Light;sans-serif" w:hAnsi="Frutiger LT 45 Light;sans-serif"/>
                <w:b/>
                <w:color w:val="000000"/>
                <w:sz w:val="14"/>
              </w:rPr>
              <w:t>Net income attributable to TWFG, Inc.</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1,957 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4,128 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3,295 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4"/>
              </w:rPr>
            </w:pPr>
            <w:r>
              <w:rPr>
                <w:rFonts w:ascii="Frutiger LT 45 Light;sans-serif" w:hAnsi="Frutiger LT 45 Light;sans-serif"/>
                <w:b/>
                <w:color w:val="000000"/>
                <w:sz w:val="14"/>
              </w:rPr>
              <w:t>Weighted average shares of common stock outstanding (see Note 13):</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Basic</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13,096,390 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14,904,083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14,001,518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14,896,951</w:t>
            </w:r>
          </w:p>
        </w:tc>
      </w:tr>
      <w:tr>
        <w:trPr/>
        <w:tc>
          <w:tcPr>
            <w:tcW w:w="5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Diluted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13,096,390 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56,278,869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14,001,518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15,083,695</w:t>
            </w:r>
          </w:p>
        </w:tc>
      </w:tr>
      <w:tr>
        <w:trPr/>
        <w:tc>
          <w:tcPr>
            <w:tcW w:w="5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4"/>
              </w:rPr>
            </w:pPr>
            <w:r>
              <w:rPr>
                <w:rFonts w:ascii="Frutiger LT 45 Light;sans-serif" w:hAnsi="Frutiger LT 45 Light;sans-serif"/>
                <w:b/>
                <w:color w:val="000000"/>
                <w:sz w:val="14"/>
              </w:rPr>
              <w:t>Earnings per share (see Note 13):</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7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7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7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7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7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Basic</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0.22 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Diluted</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0.22 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center"/>
        <w:rPr>
          <w:rFonts w:ascii="Frutiger LT 45 Light;sans-serif" w:hAnsi="Frutiger LT 45 Light;sans-serif"/>
          <w:b w:val="false"/>
          <w:i/>
          <w:color w:val="000000"/>
          <w:sz w:val="20"/>
        </w:rPr>
      </w:pPr>
      <w:r>
        <w:rPr>
          <w:rFonts w:ascii="Frutiger LT 45 Light;sans-serif" w:hAnsi="Frutiger LT 45 Light;sans-serif"/>
          <w:b w:val="false"/>
          <w:i/>
          <w:color w:val="000000"/>
          <w:sz w:val="20"/>
        </w:rPr>
        <w:t>See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7955"/>
                <wp:effectExtent l="0" t="0" r="0" b="0"/>
                <wp:wrapNone/>
                <wp:docPr id="6" name="Frame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1</w:t>
                      </w:r>
                    </w:p>
                  </w:txbxContent>
                </v:textbox>
                <w10:wrap type="none"/>
              </v:rect>
            </w:pict>
          </mc:Fallback>
        </mc:AlternateContent>
      </w:r>
    </w:p>
    <w:p>
      <w:pPr>
        <w:pStyle w:val="TextBody"/>
        <w:bidi w:val="0"/>
        <w:spacing w:lineRule="auto" w:line="288" w:before="0" w:after="160"/>
        <w:jc w:val="left"/>
        <w:rPr/>
      </w:pPr>
      <w:hyperlink w:anchor="i54bb4eec0dab4063b7a5a162c0b6d974_7">
        <w:r>
          <w:rPr>
            <w:rStyle w:val="InternetLink"/>
          </w:rPr>
          <w:t xml:space="preserve">Table </w:t>
        </w:r>
      </w:hyperlink>
      <w:hyperlink w:anchor="i54bb4eec0dab4063b7a5a162c0b6d974_7">
        <w:r>
          <w:rPr>
            <w:rStyle w:val="InternetLink"/>
          </w:rPr>
          <w:t>of</w:t>
        </w:r>
      </w:hyperlink>
      <w:hyperlink w:anchor="i54bb4eec0dab4063b7a5a162c0b6d974_7">
        <w:r>
          <w:rPr>
            <w:rStyle w:val="InternetLink"/>
          </w:rPr>
          <w:t xml:space="preserve"> Contents</w:t>
        </w:r>
      </w:hyperlink>
    </w:p>
    <w:p>
      <w:pPr>
        <w:pStyle w:val="TextBody"/>
        <w:bidi w:val="0"/>
        <w:spacing w:lineRule="auto" w:line="288" w:before="0" w:after="0"/>
        <w:jc w:val="center"/>
        <w:rPr>
          <w:rFonts w:ascii="Frutiger LT 45 Light;sans-serif" w:hAnsi="Frutiger LT 45 Light;sans-serif"/>
          <w:b/>
          <w:color w:val="000000"/>
          <w:sz w:val="24"/>
        </w:rPr>
      </w:pPr>
      <w:r>
        <w:rPr>
          <w:rFonts w:ascii="Frutiger LT 45 Light;sans-serif" w:hAnsi="Frutiger LT 45 Light;sans-serif"/>
          <w:b/>
          <w:color w:val="000000"/>
          <w:sz w:val="24"/>
        </w:rPr>
        <w:t>TWFG, Inc.</w:t>
      </w:r>
    </w:p>
    <w:p>
      <w:pPr>
        <w:pStyle w:val="TextBody"/>
        <w:bidi w:val="0"/>
        <w:spacing w:lineRule="auto" w:line="288" w:before="0" w:after="0"/>
        <w:jc w:val="center"/>
        <w:rPr>
          <w:rFonts w:ascii="Frutiger LT 45 Light;sans-serif" w:hAnsi="Frutiger LT 45 Light;sans-serif"/>
          <w:b/>
          <w:color w:val="000000"/>
          <w:sz w:val="24"/>
        </w:rPr>
      </w:pPr>
      <w:r>
        <w:rPr>
          <w:rFonts w:ascii="Frutiger LT 45 Light;sans-serif" w:hAnsi="Frutiger LT 45 Light;sans-serif"/>
          <w:b/>
          <w:color w:val="000000"/>
          <w:sz w:val="24"/>
        </w:rPr>
        <w:t>Condensed Consolidated Statements of Comprehensive Income</w:t>
      </w:r>
    </w:p>
    <w:p>
      <w:pPr>
        <w:pStyle w:val="TextBody"/>
        <w:bidi w:val="0"/>
        <w:spacing w:lineRule="auto" w:line="288" w:before="0" w:after="0"/>
        <w:jc w:val="center"/>
        <w:rPr>
          <w:rFonts w:ascii="Frutiger LT 45 Light;sans-serif" w:hAnsi="Frutiger LT 45 Light;sans-serif"/>
          <w:b w:val="false"/>
          <w:i/>
          <w:color w:val="000000"/>
          <w:sz w:val="20"/>
        </w:rPr>
      </w:pPr>
      <w:r>
        <w:rPr>
          <w:rFonts w:ascii="Frutiger LT 45 Light;sans-serif" w:hAnsi="Frutiger LT 45 Light;sans-serif"/>
          <w:b w:val="false"/>
          <w:i/>
          <w:color w:val="000000"/>
          <w:sz w:val="20"/>
        </w:rPr>
        <w:t>(Amounts in thousands)</w:t>
      </w:r>
    </w:p>
    <w:p>
      <w:pPr>
        <w:pStyle w:val="TextBody"/>
        <w:bidi w:val="0"/>
        <w:spacing w:lineRule="auto" w:line="288" w:before="0" w:after="160"/>
        <w:jc w:val="center"/>
        <w:rPr>
          <w:rFonts w:ascii="Frutiger LT 45 Light;sans-serif" w:hAnsi="Frutiger LT 45 Light;sans-serif"/>
          <w:b w:val="false"/>
          <w:i/>
          <w:color w:val="000000"/>
          <w:sz w:val="20"/>
        </w:rPr>
      </w:pPr>
      <w:r>
        <w:rPr>
          <w:rFonts w:ascii="Frutiger LT 45 Light;sans-serif" w:hAnsi="Frutiger LT 45 Light;sans-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977"/>
        <w:gridCol w:w="1729"/>
        <w:gridCol w:w="1757"/>
        <w:gridCol w:w="196"/>
        <w:gridCol w:w="64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56"/>
      </w:tblGrid>
      <w:tr>
        <w:trPr/>
        <w:tc>
          <w:tcPr>
            <w:tcW w:w="1977"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6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Three Months Ended</w:t>
              <w:br/>
              <w:t>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Six Months Ended</w:t>
              <w:br/>
              <w:t>June 30,</w:t>
            </w:r>
          </w:p>
        </w:tc>
      </w:tr>
      <w:tr>
        <w:trPr/>
        <w:tc>
          <w:tcPr>
            <w:tcW w:w="5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2025</w:t>
            </w:r>
          </w:p>
        </w:tc>
      </w:tr>
      <w:tr>
        <w:trPr/>
        <w:tc>
          <w:tcPr>
            <w:tcW w:w="54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Frutiger LT 45 Light;sans-serif" w:hAnsi="Frutiger LT 45 Light;sans-serif"/>
                <w:b/>
                <w:color w:val="000000"/>
                <w:sz w:val="14"/>
              </w:rPr>
              <w:t>Net income</w:t>
            </w:r>
            <w:r>
              <w:rPr>
                <w:color w:val="000000"/>
              </w:rPr>
              <w:t xml:space="preserve">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17,251 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9,000 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30,330 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15,853 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4"/>
              </w:rPr>
            </w:pPr>
            <w:r>
              <w:rPr>
                <w:rFonts w:ascii="Frutiger LT 45 Light;sans-serif" w:hAnsi="Frutiger LT 45 Light;sans-serif"/>
                <w:b/>
                <w:color w:val="000000"/>
                <w:sz w:val="14"/>
              </w:rPr>
              <w:t>Other comprehensive loss, net of tax:</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Unrealized gain (loss) on derivative instruments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Reclassification of realized losses on derivative instruments included in net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(101)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Total other comprehensive loss, net of tax</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(118)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Frutiger LT 45 Light;sans-serif" w:hAnsi="Frutiger LT 45 Light;sans-serif"/>
                <w:b/>
                <w:color w:val="000000"/>
                <w:sz w:val="14"/>
              </w:rPr>
              <w:t>Comprehensive income</w:t>
            </w:r>
            <w:r>
              <w:rPr>
                <w:color w:val="000000"/>
              </w:rPr>
              <w:t xml:space="preserve"> </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17,231 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8,950 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30,293 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15,735 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Less: comprehensive income attributable to noncontrolling interests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14,865 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7,006 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26,174 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12,472 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color w:val="000000"/>
                <w:sz w:val="14"/>
              </w:rPr>
            </w:pPr>
            <w:r>
              <w:rPr>
                <w:rFonts w:ascii="Frutiger LT 45 Light;sans-serif" w:hAnsi="Frutiger LT 45 Light;sans-serif"/>
                <w:b/>
                <w:color w:val="000000"/>
                <w:sz w:val="14"/>
              </w:rPr>
              <w:t>Comprehensive income attributable to TWFG, Inc.</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2,366 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1,944 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4,119 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3,263 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center"/>
        <w:rPr>
          <w:rFonts w:ascii="Frutiger LT 45 Light;sans-serif" w:hAnsi="Frutiger LT 45 Light;sans-serif"/>
          <w:b w:val="false"/>
          <w:i/>
          <w:color w:val="000000"/>
          <w:sz w:val="20"/>
        </w:rPr>
      </w:pPr>
      <w:r>
        <w:rPr>
          <w:rFonts w:ascii="Frutiger LT 45 Light;sans-serif" w:hAnsi="Frutiger LT 45 Light;sans-serif"/>
          <w:b w:val="false"/>
          <w:i/>
          <w:color w:val="000000"/>
          <w:sz w:val="20"/>
        </w:rPr>
        <w:t>See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7955"/>
                <wp:effectExtent l="0" t="0" r="0" b="0"/>
                <wp:wrapNone/>
                <wp:docPr id="7" name="Frame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2</w:t>
                      </w:r>
                    </w:p>
                  </w:txbxContent>
                </v:textbox>
                <w10:wrap type="none"/>
              </v:rect>
            </w:pict>
          </mc:Fallback>
        </mc:AlternateContent>
      </w:r>
    </w:p>
    <w:p>
      <w:pPr>
        <w:pStyle w:val="TextBody"/>
        <w:bidi w:val="0"/>
        <w:spacing w:lineRule="auto" w:line="288" w:before="0" w:after="160"/>
        <w:jc w:val="left"/>
        <w:rPr/>
      </w:pPr>
      <w:hyperlink w:anchor="i54bb4eec0dab4063b7a5a162c0b6d974_7">
        <w:r>
          <w:rPr>
            <w:rStyle w:val="InternetLink"/>
          </w:rPr>
          <w:t xml:space="preserve">Table </w:t>
        </w:r>
      </w:hyperlink>
      <w:hyperlink w:anchor="i54bb4eec0dab4063b7a5a162c0b6d974_7">
        <w:r>
          <w:rPr>
            <w:rStyle w:val="InternetLink"/>
          </w:rPr>
          <w:t>of</w:t>
        </w:r>
      </w:hyperlink>
      <w:hyperlink w:anchor="i54bb4eec0dab4063b7a5a162c0b6d974_7">
        <w:r>
          <w:rPr>
            <w:rStyle w:val="InternetLink"/>
          </w:rPr>
          <w:t xml:space="preserve"> Contents</w:t>
        </w:r>
      </w:hyperlink>
    </w:p>
    <w:p>
      <w:pPr>
        <w:pStyle w:val="TextBody"/>
        <w:bidi w:val="0"/>
        <w:spacing w:lineRule="auto" w:line="288" w:before="0" w:after="0"/>
        <w:jc w:val="center"/>
        <w:rPr>
          <w:rFonts w:ascii="Frutiger LT 45 Light;sans-serif" w:hAnsi="Frutiger LT 45 Light;sans-serif"/>
          <w:b/>
          <w:color w:val="000000"/>
          <w:sz w:val="24"/>
        </w:rPr>
      </w:pPr>
      <w:r>
        <w:rPr>
          <w:rFonts w:ascii="Frutiger LT 45 Light;sans-serif" w:hAnsi="Frutiger LT 45 Light;sans-serif"/>
          <w:b/>
          <w:color w:val="000000"/>
          <w:sz w:val="24"/>
        </w:rPr>
        <w:t>TWFG, Inc.</w:t>
      </w:r>
    </w:p>
    <w:p>
      <w:pPr>
        <w:pStyle w:val="TextBody"/>
        <w:bidi w:val="0"/>
        <w:spacing w:lineRule="auto" w:line="288" w:before="0" w:after="0"/>
        <w:jc w:val="center"/>
        <w:rPr>
          <w:rFonts w:ascii="Frutiger LT 45 Light;sans-serif" w:hAnsi="Frutiger LT 45 Light;sans-serif"/>
          <w:b/>
          <w:color w:val="000000"/>
          <w:sz w:val="24"/>
        </w:rPr>
      </w:pPr>
      <w:r>
        <w:rPr>
          <w:rFonts w:ascii="Frutiger LT 45 Light;sans-serif" w:hAnsi="Frutiger LT 45 Light;sans-serif"/>
          <w:b/>
          <w:color w:val="000000"/>
          <w:sz w:val="24"/>
        </w:rPr>
        <w:t>Condensed Consolidated Balance Sheets</w:t>
      </w:r>
    </w:p>
    <w:p>
      <w:pPr>
        <w:pStyle w:val="TextBody"/>
        <w:bidi w:val="0"/>
        <w:spacing w:lineRule="auto" w:line="288" w:before="0" w:after="0"/>
        <w:jc w:val="center"/>
        <w:rPr>
          <w:rFonts w:ascii="Frutiger LT 45 Light;sans-serif" w:hAnsi="Frutiger LT 45 Light;sans-serif"/>
          <w:b w:val="false"/>
          <w:i/>
          <w:color w:val="000000"/>
          <w:sz w:val="20"/>
        </w:rPr>
      </w:pPr>
      <w:r>
        <w:rPr>
          <w:rFonts w:ascii="Frutiger LT 45 Light;sans-serif" w:hAnsi="Frutiger LT 45 Light;sans-serif"/>
          <w:b w:val="false"/>
          <w:i/>
          <w:color w:val="000000"/>
          <w:sz w:val="20"/>
        </w:rPr>
        <w:t>(Amounts in thousands, except share/unit data)</w:t>
      </w:r>
    </w:p>
    <w:p>
      <w:pPr>
        <w:pStyle w:val="TextBody"/>
        <w:bidi w:val="0"/>
        <w:spacing w:lineRule="auto" w:line="288" w:before="0" w:after="160"/>
        <w:jc w:val="center"/>
        <w:rPr>
          <w:rFonts w:ascii="Frutiger LT 45 Light;sans-serif" w:hAnsi="Frutiger LT 45 Light;sans-serif"/>
          <w:b w:val="false"/>
          <w:i/>
          <w:color w:val="000000"/>
          <w:sz w:val="20"/>
        </w:rPr>
      </w:pPr>
      <w:r>
        <w:rPr>
          <w:rFonts w:ascii="Frutiger LT 45 Light;sans-serif" w:hAnsi="Frutiger LT 45 Light;sans-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830"/>
        <w:gridCol w:w="2335"/>
        <w:gridCol w:w="2324"/>
        <w:gridCol w:w="200"/>
        <w:gridCol w:w="754"/>
        <w:gridCol w:w="111"/>
        <w:gridCol w:w="109"/>
        <w:gridCol w:w="109"/>
        <w:gridCol w:w="109"/>
        <w:gridCol w:w="238"/>
        <w:gridCol w:w="894"/>
        <w:gridCol w:w="192"/>
      </w:tblGrid>
      <w:tr>
        <w:trPr/>
        <w:tc>
          <w:tcPr>
            <w:tcW w:w="2830"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232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748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June 30,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December 31, 2025</w:t>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4"/>
              </w:rPr>
            </w:pPr>
            <w:r>
              <w:rPr>
                <w:rFonts w:ascii="Frutiger LT 45 Light;sans-serif" w:hAnsi="Frutiger LT 45 Light;sans-serif"/>
                <w:b/>
                <w:color w:val="000000"/>
                <w:sz w:val="14"/>
              </w:rPr>
              <w:t>Assets</w:t>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4"/>
              </w:rPr>
            </w:pPr>
            <w:r>
              <w:rPr>
                <w:rFonts w:ascii="Frutiger LT 45 Light;sans-serif" w:hAnsi="Frutiger LT 45 Light;sans-serif"/>
                <w:b/>
                <w:color w:val="000000"/>
                <w:sz w:val="14"/>
              </w:rPr>
              <w:t>Current assets</w:t>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Cash and cash equivalents</w:t>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73,745 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155,926 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Restricted cash</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19,006 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11,974 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Commissions receivable, net</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46,826 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37,322 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Accounts receivable</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14,241 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7,469 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Other current assets, net</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16,703 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12,827 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 xml:space="preserve">Total current assets </w:t>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170,521 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225,518 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4"/>
              </w:rPr>
            </w:pPr>
            <w:r>
              <w:rPr>
                <w:rFonts w:ascii="Frutiger LT 45 Light;sans-serif" w:hAnsi="Frutiger LT 45 Light;sans-serif"/>
                <w:b/>
                <w:color w:val="000000"/>
                <w:sz w:val="14"/>
              </w:rPr>
              <w:t>Non-current assets</w:t>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Intangible assets, net</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178,744 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138,632 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Property and equipment, net</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3,806 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3,307 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Lease right-of-use assets, net</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4,648 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4,189 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Other non-current assets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635 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689 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 xml:space="preserve">Total assets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358,354 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372,335 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color w:val="000000"/>
                <w:sz w:val="14"/>
              </w:rPr>
            </w:pPr>
            <w:r>
              <w:rPr>
                <w:rFonts w:ascii="Frutiger LT 45 Light;sans-serif" w:hAnsi="Frutiger LT 45 Light;sans-serif"/>
                <w:b/>
                <w:color w:val="000000"/>
                <w:sz w:val="14"/>
              </w:rPr>
              <w:t>Liabilities, Redeemable Noncontrolling Interest, and Equity</w:t>
            </w:r>
          </w:p>
        </w:tc>
        <w:tc>
          <w:tcPr>
            <w:tcW w:w="10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4"/>
              </w:rPr>
            </w:pPr>
            <w:r>
              <w:rPr>
                <w:rFonts w:ascii="Frutiger LT 45 Light;sans-serif" w:hAnsi="Frutiger LT 45 Light;sans-serif"/>
                <w:b/>
                <w:color w:val="000000"/>
                <w:sz w:val="14"/>
              </w:rPr>
              <w:t>Current liabilities</w:t>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Commissions payable</w:t>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20,729 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15,168 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Carrier liabilities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22,837 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13,811 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Operating lease liabilities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1,225 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1,320 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Short-term bank debt</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2,003 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1,972 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Deferred acquisition payables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6,749 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1,505 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Other current liabilities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13,026 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10,308 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 xml:space="preserve">Total current liabilities </w:t>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66,569 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44,084 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4"/>
              </w:rPr>
            </w:pPr>
            <w:r>
              <w:rPr>
                <w:rFonts w:ascii="Frutiger LT 45 Light;sans-serif" w:hAnsi="Frutiger LT 45 Light;sans-serif"/>
                <w:b/>
                <w:color w:val="000000"/>
                <w:sz w:val="14"/>
              </w:rPr>
              <w:t>Non-current liabilities</w:t>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Operating lease liabilities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3,388 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2,897 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Long-term bank debt</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1,025 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2,035 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Deferred acquisition payables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343 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6,669 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r>
      <w:tr>
        <w:trPr/>
        <w:tc>
          <w:tcPr>
            <w:tcW w:w="7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 xml:space="preserve">Total liabilities </w:t>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71,325 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55,685 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Commitments and contingencies (see Note 14)</w:t>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Redeemable noncontrolling interest</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23,194 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17,901 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4"/>
              </w:rPr>
            </w:pPr>
            <w:r>
              <w:rPr>
                <w:rFonts w:ascii="Frutiger LT 45 Light;sans-serif" w:hAnsi="Frutiger LT 45 Light;sans-serif"/>
                <w:b/>
                <w:color w:val="000000"/>
                <w:sz w:val="14"/>
              </w:rPr>
              <w:t>Stockholders' Equity</w:t>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Class A common stock ($0.01 par value per share - 300,000,000 authorized, 12,797,112 and 15,028,681 shares issued and outstanding at June 30, 2026 and December 31, 2025, respectively)</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128 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150 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Class B common stock ($0.00001 par value per share - 100,000,000 authorized, 7,277,651 shares issued and outstanding at June 30, 2026 and December 31, 2025)</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Class C common stock ($0.00001 par value per share - 100,000,000 authorized, 33,893,810 shares issued and outstanding at June 30, 2026 and December 31, 2025)</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Additional paid-in capital</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18,623 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59,951 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Retained earnings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27,379 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23,251 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Accumulated other comprehensive income</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30 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Total stockholders' equity attributable to TWFG, Inc.</w:t>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46,151 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83,382 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Noncontrolling interests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217,684 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215,367 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Total stockholders' equity</w:t>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263,835 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298,749 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color w:val="000000"/>
                <w:sz w:val="14"/>
              </w:rPr>
            </w:pPr>
            <w:r>
              <w:rPr>
                <w:rFonts w:ascii="Frutiger LT 45 Light;sans-serif" w:hAnsi="Frutiger LT 45 Light;sans-serif"/>
                <w:b/>
                <w:color w:val="000000"/>
                <w:sz w:val="14"/>
              </w:rPr>
              <w:t>Total liabilities, redeemable noncontrolling interest, and equity</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358,354 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372,335 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color w:val="000000"/>
        </w:rPr>
      </w:pPr>
      <w:r>
        <w:rPr>
          <w:color w:val="000000"/>
        </w:rPr>
        <w:t>    </w:t>
      </w:r>
    </w:p>
    <w:p>
      <w:pPr>
        <w:pStyle w:val="TextBody"/>
        <w:bidi w:val="0"/>
        <w:spacing w:lineRule="auto" w:line="288" w:before="0" w:after="160"/>
        <w:jc w:val="center"/>
        <w:rPr>
          <w:rFonts w:ascii="Frutiger LT 45 Light;sans-serif" w:hAnsi="Frutiger LT 45 Light;sans-serif"/>
          <w:b w:val="false"/>
          <w:i/>
          <w:color w:val="000000"/>
          <w:sz w:val="20"/>
        </w:rPr>
      </w:pPr>
      <w:r>
        <w:rPr>
          <w:rFonts w:ascii="Frutiger LT 45 Light;sans-serif" w:hAnsi="Frutiger LT 45 Light;sans-serif"/>
          <w:b w:val="false"/>
          <w:i/>
          <w:color w:val="000000"/>
          <w:sz w:val="20"/>
        </w:rPr>
        <w:t>See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7955"/>
                <wp:effectExtent l="0" t="0" r="0" b="0"/>
                <wp:wrapNone/>
                <wp:docPr id="8" name="Frame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3</w:t>
                      </w:r>
                    </w:p>
                  </w:txbxContent>
                </v:textbox>
                <w10:wrap type="none"/>
              </v:rect>
            </w:pict>
          </mc:Fallback>
        </mc:AlternateContent>
      </w:r>
    </w:p>
    <w:p>
      <w:pPr>
        <w:pStyle w:val="TextBody"/>
        <w:bidi w:val="0"/>
        <w:spacing w:lineRule="auto" w:line="288" w:before="0" w:after="160"/>
        <w:jc w:val="left"/>
        <w:rPr/>
      </w:pPr>
      <w:hyperlink w:anchor="i54bb4eec0dab4063b7a5a162c0b6d974_7">
        <w:r>
          <w:rPr>
            <w:rStyle w:val="InternetLink"/>
          </w:rPr>
          <w:t xml:space="preserve">Table </w:t>
        </w:r>
      </w:hyperlink>
      <w:hyperlink w:anchor="i54bb4eec0dab4063b7a5a162c0b6d974_7">
        <w:r>
          <w:rPr>
            <w:rStyle w:val="InternetLink"/>
          </w:rPr>
          <w:t>of</w:t>
        </w:r>
      </w:hyperlink>
      <w:hyperlink w:anchor="i54bb4eec0dab4063b7a5a162c0b6d974_7">
        <w:r>
          <w:rPr>
            <w:rStyle w:val="InternetLink"/>
          </w:rPr>
          <w:t xml:space="preserve"> Contents</w:t>
        </w:r>
      </w:hyperlink>
    </w:p>
    <w:p>
      <w:pPr>
        <w:pStyle w:val="TextBody"/>
        <w:bidi w:val="0"/>
        <w:spacing w:lineRule="auto" w:line="288" w:before="0" w:after="0"/>
        <w:jc w:val="center"/>
        <w:rPr>
          <w:rFonts w:ascii="Frutiger LT 45 Light;sans-serif" w:hAnsi="Frutiger LT 45 Light;sans-serif"/>
          <w:b/>
          <w:color w:val="000000"/>
          <w:sz w:val="24"/>
        </w:rPr>
      </w:pPr>
      <w:r>
        <w:rPr>
          <w:rFonts w:ascii="Frutiger LT 45 Light;sans-serif" w:hAnsi="Frutiger LT 45 Light;sans-serif"/>
          <w:b/>
          <w:color w:val="000000"/>
          <w:sz w:val="24"/>
        </w:rPr>
        <w:t>TWFG, Inc.</w:t>
      </w:r>
    </w:p>
    <w:p>
      <w:pPr>
        <w:pStyle w:val="TextBody"/>
        <w:bidi w:val="0"/>
        <w:spacing w:lineRule="auto" w:line="288" w:before="0" w:after="0"/>
        <w:jc w:val="center"/>
        <w:rPr>
          <w:rFonts w:ascii="Frutiger LT 45 Light;sans-serif" w:hAnsi="Frutiger LT 45 Light;sans-serif"/>
          <w:b/>
          <w:color w:val="000000"/>
          <w:sz w:val="24"/>
        </w:rPr>
      </w:pPr>
      <w:r>
        <w:rPr>
          <w:rFonts w:ascii="Frutiger LT 45 Light;sans-serif" w:hAnsi="Frutiger LT 45 Light;sans-serif"/>
          <w:b/>
          <w:color w:val="000000"/>
          <w:sz w:val="24"/>
        </w:rPr>
        <w:t xml:space="preserve">Condensed Consolidated Statements of Changes in Redeemable </w:t>
      </w:r>
    </w:p>
    <w:p>
      <w:pPr>
        <w:pStyle w:val="TextBody"/>
        <w:bidi w:val="0"/>
        <w:spacing w:lineRule="auto" w:line="288" w:before="0" w:after="100"/>
        <w:jc w:val="center"/>
        <w:rPr>
          <w:rFonts w:ascii="Frutiger LT 45 Light;sans-serif" w:hAnsi="Frutiger LT 45 Light;sans-serif"/>
          <w:b/>
          <w:color w:val="000000"/>
          <w:sz w:val="24"/>
        </w:rPr>
      </w:pPr>
      <w:r>
        <w:rPr>
          <w:rFonts w:ascii="Frutiger LT 45 Light;sans-serif" w:hAnsi="Frutiger LT 45 Light;sans-serif"/>
          <w:b/>
          <w:color w:val="000000"/>
          <w:sz w:val="24"/>
        </w:rPr>
        <w:t>Noncontrolling Interest and Stockholders’ Equity</w:t>
      </w:r>
    </w:p>
    <w:p>
      <w:pPr>
        <w:pStyle w:val="TextBody"/>
        <w:bidi w:val="0"/>
        <w:spacing w:lineRule="auto" w:line="288" w:before="0" w:after="0"/>
        <w:jc w:val="center"/>
        <w:rPr>
          <w:rFonts w:ascii="Frutiger LT 45 Light;sans-serif" w:hAnsi="Frutiger LT 45 Light;sans-serif"/>
          <w:b w:val="false"/>
          <w:i/>
          <w:color w:val="000000"/>
          <w:sz w:val="20"/>
        </w:rPr>
      </w:pPr>
      <w:r>
        <w:rPr>
          <w:rFonts w:ascii="Frutiger LT 45 Light;sans-serif" w:hAnsi="Frutiger LT 45 Light;sans-serif"/>
          <w:b w:val="false"/>
          <w:i/>
          <w:color w:val="000000"/>
          <w:sz w:val="20"/>
        </w:rPr>
        <w:t>(Amounts in thousands, except share/unit data)</w:t>
      </w:r>
    </w:p>
    <w:p>
      <w:pPr>
        <w:pStyle w:val="TextBody"/>
        <w:bidi w:val="0"/>
        <w:spacing w:lineRule="auto" w:line="288" w:before="0" w:after="160"/>
        <w:jc w:val="center"/>
        <w:rPr>
          <w:rFonts w:ascii="Frutiger LT 45 Light;sans-serif" w:hAnsi="Frutiger LT 45 Light;sans-serif"/>
          <w:b w:val="false"/>
          <w:i/>
          <w:color w:val="000000"/>
          <w:sz w:val="20"/>
        </w:rPr>
      </w:pPr>
      <w:r>
        <w:rPr>
          <w:rFonts w:ascii="Frutiger LT 45 Light;sans-serif" w:hAnsi="Frutiger LT 45 Light;sans-serif"/>
          <w:b w:val="false"/>
          <w:i/>
          <w:color w:val="000000"/>
          <w:sz w:val="20"/>
        </w:rPr>
        <w:t>(unaudited)</w:t>
      </w:r>
    </w:p>
    <w:tbl>
      <w:tblPr>
        <w:tblW w:w="19541" w:type="dxa"/>
        <w:jc w:val="center"/>
        <w:tblInd w:w="0" w:type="dxa"/>
        <w:tblLayout w:type="fixed"/>
        <w:tblCellMar>
          <w:top w:w="28" w:type="dxa"/>
          <w:left w:w="28" w:type="dxa"/>
          <w:bottom w:w="28" w:type="dxa"/>
          <w:right w:w="28" w:type="dxa"/>
        </w:tblCellMar>
      </w:tblPr>
      <w:tblGrid>
        <w:gridCol w:w="670"/>
        <w:gridCol w:w="272"/>
        <w:gridCol w:w="274"/>
        <w:gridCol w:w="109"/>
        <w:gridCol w:w="109"/>
        <w:gridCol w:w="109"/>
        <w:gridCol w:w="135"/>
        <w:gridCol w:w="135"/>
        <w:gridCol w:w="479"/>
        <w:gridCol w:w="482"/>
        <w:gridCol w:w="264"/>
        <w:gridCol w:w="109"/>
        <w:gridCol w:w="109"/>
        <w:gridCol w:w="109"/>
        <w:gridCol w:w="196"/>
        <w:gridCol w:w="421"/>
        <w:gridCol w:w="109"/>
        <w:gridCol w:w="109"/>
        <w:gridCol w:w="109"/>
        <w:gridCol w:w="109"/>
        <w:gridCol w:w="435"/>
        <w:gridCol w:w="436"/>
        <w:gridCol w:w="278"/>
        <w:gridCol w:w="109"/>
        <w:gridCol w:w="109"/>
        <w:gridCol w:w="109"/>
        <w:gridCol w:w="196"/>
        <w:gridCol w:w="406"/>
        <w:gridCol w:w="109"/>
        <w:gridCol w:w="109"/>
        <w:gridCol w:w="109"/>
        <w:gridCol w:w="109"/>
        <w:gridCol w:w="480"/>
        <w:gridCol w:w="481"/>
        <w:gridCol w:w="308"/>
        <w:gridCol w:w="109"/>
        <w:gridCol w:w="109"/>
        <w:gridCol w:w="109"/>
        <w:gridCol w:w="196"/>
        <w:gridCol w:w="406"/>
        <w:gridCol w:w="109"/>
        <w:gridCol w:w="109"/>
        <w:gridCol w:w="109"/>
        <w:gridCol w:w="109"/>
        <w:gridCol w:w="109"/>
        <w:gridCol w:w="109"/>
        <w:gridCol w:w="109"/>
        <w:gridCol w:w="109"/>
        <w:gridCol w:w="196"/>
        <w:gridCol w:w="646"/>
        <w:gridCol w:w="109"/>
        <w:gridCol w:w="109"/>
        <w:gridCol w:w="109"/>
        <w:gridCol w:w="109"/>
        <w:gridCol w:w="196"/>
        <w:gridCol w:w="646"/>
        <w:gridCol w:w="109"/>
        <w:gridCol w:w="109"/>
        <w:gridCol w:w="109"/>
        <w:gridCol w:w="109"/>
        <w:gridCol w:w="383"/>
        <w:gridCol w:w="648"/>
        <w:gridCol w:w="215"/>
        <w:gridCol w:w="327"/>
        <w:gridCol w:w="225"/>
        <w:gridCol w:w="744"/>
        <w:gridCol w:w="127"/>
        <w:gridCol w:w="327"/>
        <w:gridCol w:w="223"/>
        <w:gridCol w:w="838"/>
        <w:gridCol w:w="125"/>
        <w:gridCol w:w="327"/>
        <w:gridCol w:w="206"/>
        <w:gridCol w:w="774"/>
        <w:gridCol w:w="116"/>
        <w:gridCol w:w="327"/>
        <w:gridCol w:w="206"/>
        <w:gridCol w:w="681"/>
        <w:gridCol w:w="164"/>
      </w:tblGrid>
      <w:tr>
        <w:trPr/>
        <w:tc>
          <w:tcPr>
            <w:tcW w:w="67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558" w:type="dxa"/>
            <w:gridSpan w:val="60"/>
            <w:tcBorders/>
            <w:tcMar>
              <w:top w:w="0" w:type="dxa"/>
              <w:left w:w="0" w:type="dxa"/>
              <w:bottom w:w="0" w:type="dxa"/>
              <w:right w:w="0" w:type="dxa"/>
            </w:tcMar>
            <w:vAlign w:val="center"/>
          </w:tcPr>
          <w:p>
            <w:pPr>
              <w:pStyle w:val="TableContents"/>
              <w:bidi w:val="0"/>
              <w:spacing w:lineRule="auto" w:line="240" w:before="0" w:after="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For the Six Months Ended June 30, 2026</w:t>
            </w:r>
          </w:p>
        </w:tc>
        <w:tc>
          <w:tcPr>
            <w:tcW w:w="6983" w:type="dxa"/>
            <w:gridSpan w:val="27"/>
            <w:tcBorders/>
          </w:tcPr>
          <w:p>
            <w:pPr>
              <w:pStyle w:val="TableContents"/>
              <w:bidi w:val="0"/>
              <w:spacing w:before="0" w:after="283"/>
              <w:jc w:val="left"/>
              <w:rPr>
                <w:sz w:val="4"/>
                <w:szCs w:val="4"/>
              </w:rPr>
            </w:pPr>
            <w:r>
              <w:rPr>
                <w:sz w:val="4"/>
                <w:szCs w:val="4"/>
              </w:rPr>
            </w:r>
          </w:p>
        </w:tc>
      </w:tr>
      <w:tr>
        <w:trPr/>
        <w:tc>
          <w:tcPr>
            <w:tcW w:w="121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5" w:type="dxa"/>
            <w:gridSpan w:val="5"/>
            <w:tcBorders>
              <w:top w:val="single" w:sz="12"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Frutiger LT 45 Light;sans-serif" w:hAnsi="Frutiger LT 45 Light;sans-serif"/>
                <w:b/>
                <w:color w:val="000000"/>
                <w:sz w:val="12"/>
              </w:rPr>
            </w:pPr>
            <w:r>
              <w:rPr>
                <w:rFonts w:ascii="Frutiger LT 45 Light;sans-serif" w:hAnsi="Frutiger LT 45 Light;sans-serif"/>
                <w:b/>
                <w:color w:val="000000"/>
                <w:sz w:val="12"/>
              </w:rPr>
              <w:t>Class A Common Stock</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Frutiger LT 45 Light;sans-serif" w:hAnsi="Frutiger LT 45 Light;sans-serif"/>
                <w:b/>
                <w:color w:val="000000"/>
                <w:sz w:val="12"/>
              </w:rPr>
            </w:pPr>
            <w:r>
              <w:rPr>
                <w:rFonts w:ascii="Frutiger LT 45 Light;sans-serif" w:hAnsi="Frutiger LT 45 Light;sans-serif"/>
                <w:b/>
                <w:color w:val="000000"/>
                <w:sz w:val="12"/>
              </w:rPr>
              <w:t>Class B Voting Stock</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Frutiger LT 45 Light;sans-serif" w:hAnsi="Frutiger LT 45 Light;sans-serif"/>
                <w:b/>
                <w:color w:val="000000"/>
                <w:sz w:val="12"/>
              </w:rPr>
            </w:pPr>
            <w:r>
              <w:rPr>
                <w:rFonts w:ascii="Frutiger LT 45 Light;sans-serif" w:hAnsi="Frutiger LT 45 Light;sans-serif"/>
                <w:b/>
                <w:color w:val="000000"/>
                <w:sz w:val="12"/>
              </w:rPr>
              <w:t>Class C Voting Stock</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12"/>
            <w:tcBorders/>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Frutiger LT 45 Light;sans-serif" w:hAnsi="Frutiger LT 45 Light;sans-serif"/>
                <w:b/>
                <w:color w:val="000000"/>
                <w:sz w:val="14"/>
              </w:rPr>
            </w:pPr>
            <w:r>
              <w:rPr>
                <w:rFonts w:ascii="Frutiger LT 45 Light;sans-serif" w:hAnsi="Frutiger LT 45 Light;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Frutiger LT 45 Light;sans-serif" w:hAnsi="Frutiger LT 45 Light;sans-serif"/>
                <w:b/>
                <w:color w:val="000000"/>
                <w:sz w:val="14"/>
              </w:rPr>
            </w:pPr>
            <w:r>
              <w:rPr>
                <w:rFonts w:ascii="Frutiger LT 45 Light;sans-serif" w:hAnsi="Frutiger LT 45 Light;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Frutiger LT 45 Light;sans-serif" w:hAnsi="Frutiger LT 45 Light;sans-serif"/>
                <w:b/>
                <w:color w:val="000000"/>
                <w:sz w:val="14"/>
              </w:rPr>
            </w:pPr>
            <w:r>
              <w:rPr>
                <w:rFonts w:ascii="Frutiger LT 45 Light;sans-serif" w:hAnsi="Frutiger LT 45 Light;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Frutiger LT 45 Light;sans-serif" w:hAnsi="Frutiger LT 45 Light;sans-serif"/>
                <w:b/>
                <w:color w:val="000000"/>
                <w:sz w:val="14"/>
              </w:rPr>
            </w:pPr>
            <w:r>
              <w:rPr>
                <w:rFonts w:ascii="Frutiger LT 45 Light;sans-serif" w:hAnsi="Frutiger LT 45 Light;sans-serif"/>
                <w:b/>
                <w:color w:val="000000"/>
                <w:sz w:val="14"/>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Total Stockholders’ Equity Attributable to TWFG,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left w:val="single" w:sz="12" w:space="0" w:color="000000"/>
            </w:tcBorders>
            <w:tcMar>
              <w:top w:w="0" w:type="dxa"/>
              <w:bottom w:w="0" w:type="dxa"/>
              <w:right w:w="0" w:type="dxa"/>
            </w:tcMar>
            <w:vAlign w:val="center"/>
          </w:tcPr>
          <w:p>
            <w:pPr>
              <w:pStyle w:val="TableContents"/>
              <w:bidi w:val="0"/>
              <w:spacing w:lineRule="auto" w:line="240" w:before="0" w:after="283"/>
              <w:ind w:left="0" w:right="0" w:hanging="180"/>
              <w:jc w:val="center"/>
              <w:rPr>
                <w:rFonts w:ascii="Frutiger LT 45 Light;sans-serif" w:hAnsi="Frutiger LT 45 Light;sans-serif"/>
                <w:b/>
                <w:color w:val="000000"/>
                <w:sz w:val="14"/>
              </w:rPr>
            </w:pPr>
            <w:r>
              <w:rPr>
                <w:rFonts w:ascii="Frutiger LT 45 Light;sans-serif" w:hAnsi="Frutiger LT 45 Light;sans-serif"/>
                <w:b/>
                <w:color w:val="000000"/>
                <w:sz w:val="14"/>
              </w:rPr>
              <w:t>Redeemable Noncontrolling Interest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4"/>
              </w:rPr>
            </w:pPr>
            <w:r>
              <w:rPr>
                <w:rFonts w:ascii="Frutiger LT 45 Light;sans-serif" w:hAnsi="Frutiger LT 45 Light;sans-serif"/>
                <w:b/>
                <w:color w:val="000000"/>
                <w:sz w:val="14"/>
              </w:rPr>
              <w:t>Balance at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15,028,681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7,277,651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33,893,810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59,951 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23,251 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30 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83,382 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215,367 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298,749 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left w:val="single" w:sz="12"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17,901 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1,757 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7,816 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9,573 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3,506 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Cash distributions to members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(7,326)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(7,326)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left w:val="single" w:sz="12"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856 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856 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left w:val="single" w:sz="12"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Vesting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25,467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Tax withholding on vesting of equity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(4,687)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(86)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(86)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left w:val="single" w:sz="12"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Share repurchase program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(872,397)</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(16,715)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(16,723)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(16,723)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4"/>
              </w:rPr>
            </w:pPr>
            <w:r>
              <w:rPr>
                <w:rFonts w:ascii="Frutiger LT 45 Light;sans-serif" w:hAnsi="Frutiger LT 45 Light;sans-serif"/>
                <w:b/>
                <w:color w:val="000000"/>
                <w:sz w:val="14"/>
              </w:rPr>
              <w:t>Balance at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14,177,064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7,277,651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33,893,810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44,006 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25,008 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26 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69,182 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215,844 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285,026 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left w:val="single" w:sz="12"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21,407 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2,371 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10,533 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12,904 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4,347 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Cash distributions to members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(8,678)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(8,678)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left w:val="single" w:sz="12"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(2,560)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1,166 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1,166 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left w:val="single" w:sz="12"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Share repurchase program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(1,379,952)</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(26,549)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(26,563)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(26,563)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4"/>
              </w:rPr>
            </w:pPr>
            <w:r>
              <w:rPr>
                <w:rFonts w:ascii="Frutiger LT 45 Light;sans-serif" w:hAnsi="Frutiger LT 45 Light;sans-serif"/>
                <w:b/>
                <w:color w:val="000000"/>
                <w:sz w:val="14"/>
              </w:rPr>
              <w:t>Balance at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12,797,112 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7,277,651 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33,893,810 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18,623 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27,379 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21 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46,151 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217,684 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263,835 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left w:val="single" w:sz="12"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23,194 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2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left w:val="single" w:sz="12" w:space="0" w:color="000000"/>
              <w:bottom w:val="single" w:sz="8" w:space="0" w:color="000000"/>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r>
    </w:p>
    <w:p>
      <w:pPr>
        <w:pStyle w:val="TextBody"/>
        <w:bidi w:val="0"/>
        <w:spacing w:lineRule="auto" w:line="288" w:before="0" w:after="160"/>
        <w:jc w:val="center"/>
        <w:rPr>
          <w:rFonts w:ascii="Frutiger LT 45 Light;sans-serif" w:hAnsi="Frutiger LT 45 Light;sans-serif"/>
          <w:b w:val="false"/>
          <w:i/>
          <w:color w:val="000000"/>
          <w:sz w:val="20"/>
        </w:rPr>
      </w:pPr>
      <w:r>
        <w:rPr>
          <w:rFonts w:ascii="Frutiger LT 45 Light;sans-serif" w:hAnsi="Frutiger LT 45 Light;sans-serif"/>
          <w:b w:val="false"/>
          <w:i/>
          <w:color w:val="000000"/>
          <w:sz w:val="20"/>
        </w:rPr>
        <w:t>See Notes to the Condensed Consolidated Financial Statements</w:t>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7955"/>
                <wp:effectExtent l="0" t="0" r="0" b="0"/>
                <wp:wrapNone/>
                <wp:docPr id="9" name="Frame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4</w:t>
                      </w:r>
                    </w:p>
                  </w:txbxContent>
                </v:textbox>
                <w10:wrap type="none"/>
              </v:rect>
            </w:pict>
          </mc:Fallback>
        </mc:AlternateContent>
      </w:r>
    </w:p>
    <w:p>
      <w:pPr>
        <w:pStyle w:val="TextBody"/>
        <w:bidi w:val="0"/>
        <w:spacing w:lineRule="auto" w:line="288" w:before="0" w:after="160"/>
        <w:jc w:val="left"/>
        <w:rPr/>
      </w:pPr>
      <w:hyperlink w:anchor="i54bb4eec0dab4063b7a5a162c0b6d974_7">
        <w:r>
          <w:rPr>
            <w:rStyle w:val="InternetLink"/>
          </w:rPr>
          <w:t xml:space="preserve">Table </w:t>
        </w:r>
      </w:hyperlink>
      <w:hyperlink w:anchor="i54bb4eec0dab4063b7a5a162c0b6d974_7">
        <w:r>
          <w:rPr>
            <w:rStyle w:val="InternetLink"/>
          </w:rPr>
          <w:t>of</w:t>
        </w:r>
      </w:hyperlink>
      <w:hyperlink w:anchor="i54bb4eec0dab4063b7a5a162c0b6d974_7">
        <w:r>
          <w:rPr>
            <w:rStyle w:val="InternetLink"/>
          </w:rPr>
          <w:t xml:space="preserve"> Contents</w:t>
        </w:r>
      </w:hyperlink>
    </w:p>
    <w:p>
      <w:pPr>
        <w:pStyle w:val="TextBody"/>
        <w:bidi w:val="0"/>
        <w:spacing w:lineRule="auto" w:line="288" w:before="0" w:after="0"/>
        <w:jc w:val="center"/>
        <w:rPr>
          <w:rFonts w:ascii="Frutiger LT 45 Light;sans-serif" w:hAnsi="Frutiger LT 45 Light;sans-serif"/>
          <w:b/>
          <w:color w:val="000000"/>
          <w:sz w:val="24"/>
        </w:rPr>
      </w:pPr>
      <w:r>
        <w:rPr>
          <w:rFonts w:ascii="Frutiger LT 45 Light;sans-serif" w:hAnsi="Frutiger LT 45 Light;sans-serif"/>
          <w:b/>
          <w:color w:val="000000"/>
          <w:sz w:val="24"/>
        </w:rPr>
        <w:t>TWFG, Inc.</w:t>
      </w:r>
    </w:p>
    <w:p>
      <w:pPr>
        <w:pStyle w:val="TextBody"/>
        <w:bidi w:val="0"/>
        <w:spacing w:lineRule="auto" w:line="288" w:before="0" w:after="0"/>
        <w:jc w:val="center"/>
        <w:rPr>
          <w:rFonts w:ascii="Frutiger LT 45 Light;sans-serif" w:hAnsi="Frutiger LT 45 Light;sans-serif"/>
          <w:b/>
          <w:color w:val="000000"/>
          <w:sz w:val="24"/>
        </w:rPr>
      </w:pPr>
      <w:r>
        <w:rPr>
          <w:rFonts w:ascii="Frutiger LT 45 Light;sans-serif" w:hAnsi="Frutiger LT 45 Light;sans-serif"/>
          <w:b/>
          <w:color w:val="000000"/>
          <w:sz w:val="24"/>
        </w:rPr>
        <w:t xml:space="preserve">Condensed Consolidated Statements of Changes in Redeemable </w:t>
      </w:r>
    </w:p>
    <w:p>
      <w:pPr>
        <w:pStyle w:val="TextBody"/>
        <w:bidi w:val="0"/>
        <w:spacing w:lineRule="auto" w:line="288" w:before="0" w:after="100"/>
        <w:jc w:val="center"/>
        <w:rPr>
          <w:rFonts w:ascii="Frutiger LT 45 Light;sans-serif" w:hAnsi="Frutiger LT 45 Light;sans-serif"/>
          <w:b/>
          <w:color w:val="000000"/>
          <w:sz w:val="24"/>
        </w:rPr>
      </w:pPr>
      <w:r>
        <w:rPr>
          <w:rFonts w:ascii="Frutiger LT 45 Light;sans-serif" w:hAnsi="Frutiger LT 45 Light;sans-serif"/>
          <w:b/>
          <w:color w:val="000000"/>
          <w:sz w:val="24"/>
        </w:rPr>
        <w:t>Noncontrolling Interest and Stockholders’ Equity</w:t>
      </w:r>
    </w:p>
    <w:p>
      <w:pPr>
        <w:pStyle w:val="TextBody"/>
        <w:bidi w:val="0"/>
        <w:spacing w:lineRule="auto" w:line="288" w:before="0" w:after="0"/>
        <w:jc w:val="center"/>
        <w:rPr>
          <w:rFonts w:ascii="Frutiger LT 45 Light;sans-serif" w:hAnsi="Frutiger LT 45 Light;sans-serif"/>
          <w:b w:val="false"/>
          <w:i/>
          <w:color w:val="000000"/>
          <w:sz w:val="20"/>
        </w:rPr>
      </w:pPr>
      <w:r>
        <w:rPr>
          <w:rFonts w:ascii="Frutiger LT 45 Light;sans-serif" w:hAnsi="Frutiger LT 45 Light;sans-serif"/>
          <w:b w:val="false"/>
          <w:i/>
          <w:color w:val="000000"/>
          <w:sz w:val="20"/>
        </w:rPr>
        <w:t>(Amounts in thousands, except share/unit data)</w:t>
      </w:r>
    </w:p>
    <w:p>
      <w:pPr>
        <w:pStyle w:val="TextBody"/>
        <w:bidi w:val="0"/>
        <w:spacing w:lineRule="auto" w:line="288" w:before="0" w:after="160"/>
        <w:jc w:val="center"/>
        <w:rPr>
          <w:rFonts w:ascii="Frutiger LT 45 Light;sans-serif" w:hAnsi="Frutiger LT 45 Light;sans-serif"/>
          <w:b w:val="false"/>
          <w:i/>
          <w:color w:val="000000"/>
          <w:sz w:val="20"/>
        </w:rPr>
      </w:pPr>
      <w:r>
        <w:rPr>
          <w:rFonts w:ascii="Frutiger LT 45 Light;sans-serif" w:hAnsi="Frutiger LT 45 Light;sans-serif"/>
          <w:b w:val="false"/>
          <w:i/>
          <w:color w:val="000000"/>
          <w:sz w:val="20"/>
        </w:rPr>
        <w:t>(unaudited)</w:t>
      </w:r>
    </w:p>
    <w:tbl>
      <w:tblPr>
        <w:tblW w:w="19649" w:type="dxa"/>
        <w:jc w:val="center"/>
        <w:tblInd w:w="0" w:type="dxa"/>
        <w:tblLayout w:type="fixed"/>
        <w:tblCellMar>
          <w:top w:w="28" w:type="dxa"/>
          <w:left w:w="28" w:type="dxa"/>
          <w:bottom w:w="28" w:type="dxa"/>
          <w:right w:w="28" w:type="dxa"/>
        </w:tblCellMar>
      </w:tblPr>
      <w:tblGrid>
        <w:gridCol w:w="670"/>
        <w:gridCol w:w="272"/>
        <w:gridCol w:w="274"/>
        <w:gridCol w:w="109"/>
        <w:gridCol w:w="109"/>
        <w:gridCol w:w="109"/>
        <w:gridCol w:w="109"/>
        <w:gridCol w:w="109"/>
        <w:gridCol w:w="109"/>
        <w:gridCol w:w="109"/>
        <w:gridCol w:w="480"/>
        <w:gridCol w:w="481"/>
        <w:gridCol w:w="206"/>
        <w:gridCol w:w="109"/>
        <w:gridCol w:w="109"/>
        <w:gridCol w:w="109"/>
        <w:gridCol w:w="196"/>
        <w:gridCol w:w="421"/>
        <w:gridCol w:w="109"/>
        <w:gridCol w:w="109"/>
        <w:gridCol w:w="109"/>
        <w:gridCol w:w="109"/>
        <w:gridCol w:w="435"/>
        <w:gridCol w:w="436"/>
        <w:gridCol w:w="278"/>
        <w:gridCol w:w="109"/>
        <w:gridCol w:w="109"/>
        <w:gridCol w:w="109"/>
        <w:gridCol w:w="196"/>
        <w:gridCol w:w="406"/>
        <w:gridCol w:w="109"/>
        <w:gridCol w:w="109"/>
        <w:gridCol w:w="109"/>
        <w:gridCol w:w="109"/>
        <w:gridCol w:w="480"/>
        <w:gridCol w:w="481"/>
        <w:gridCol w:w="308"/>
        <w:gridCol w:w="109"/>
        <w:gridCol w:w="109"/>
        <w:gridCol w:w="109"/>
        <w:gridCol w:w="196"/>
        <w:gridCol w:w="406"/>
        <w:gridCol w:w="109"/>
        <w:gridCol w:w="109"/>
        <w:gridCol w:w="109"/>
        <w:gridCol w:w="109"/>
        <w:gridCol w:w="109"/>
        <w:gridCol w:w="109"/>
        <w:gridCol w:w="109"/>
        <w:gridCol w:w="109"/>
        <w:gridCol w:w="196"/>
        <w:gridCol w:w="646"/>
        <w:gridCol w:w="109"/>
        <w:gridCol w:w="109"/>
        <w:gridCol w:w="109"/>
        <w:gridCol w:w="109"/>
        <w:gridCol w:w="196"/>
        <w:gridCol w:w="646"/>
        <w:gridCol w:w="109"/>
        <w:gridCol w:w="109"/>
        <w:gridCol w:w="109"/>
        <w:gridCol w:w="109"/>
        <w:gridCol w:w="383"/>
        <w:gridCol w:w="648"/>
        <w:gridCol w:w="215"/>
        <w:gridCol w:w="327"/>
        <w:gridCol w:w="225"/>
        <w:gridCol w:w="744"/>
        <w:gridCol w:w="127"/>
        <w:gridCol w:w="327"/>
        <w:gridCol w:w="223"/>
        <w:gridCol w:w="838"/>
        <w:gridCol w:w="125"/>
        <w:gridCol w:w="327"/>
        <w:gridCol w:w="206"/>
        <w:gridCol w:w="774"/>
        <w:gridCol w:w="116"/>
        <w:gridCol w:w="327"/>
        <w:gridCol w:w="227"/>
        <w:gridCol w:w="644"/>
        <w:gridCol w:w="180"/>
      </w:tblGrid>
      <w:tr>
        <w:trPr/>
        <w:tc>
          <w:tcPr>
            <w:tcW w:w="67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912" w:type="dxa"/>
            <w:gridSpan w:val="65"/>
            <w:tcBorders/>
            <w:tcMar>
              <w:top w:w="0" w:type="dxa"/>
              <w:left w:w="0" w:type="dxa"/>
              <w:bottom w:w="0" w:type="dxa"/>
              <w:right w:w="0" w:type="dxa"/>
            </w:tcMar>
            <w:vAlign w:val="center"/>
          </w:tcPr>
          <w:p>
            <w:pPr>
              <w:pStyle w:val="TableContents"/>
              <w:bidi w:val="0"/>
              <w:spacing w:lineRule="auto" w:line="240" w:before="0" w:after="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For the Six Months Ended June 30, 2025</w:t>
            </w:r>
          </w:p>
        </w:tc>
        <w:tc>
          <w:tcPr>
            <w:tcW w:w="5737" w:type="dxa"/>
            <w:gridSpan w:val="24"/>
            <w:tcBorders/>
          </w:tcPr>
          <w:p>
            <w:pPr>
              <w:pStyle w:val="TableContents"/>
              <w:bidi w:val="0"/>
              <w:spacing w:before="0" w:after="283"/>
              <w:jc w:val="left"/>
              <w:rPr>
                <w:sz w:val="4"/>
                <w:szCs w:val="4"/>
              </w:rPr>
            </w:pPr>
            <w:r>
              <w:rPr>
                <w:sz w:val="4"/>
                <w:szCs w:val="4"/>
              </w:rPr>
            </w:r>
          </w:p>
        </w:tc>
      </w:tr>
      <w:tr>
        <w:trPr/>
        <w:tc>
          <w:tcPr>
            <w:tcW w:w="121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7"/>
            <w:tcBorders>
              <w:top w:val="single" w:sz="12"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Frutiger LT 45 Light;sans-serif" w:hAnsi="Frutiger LT 45 Light;sans-serif"/>
                <w:b/>
                <w:color w:val="000000"/>
                <w:sz w:val="12"/>
              </w:rPr>
            </w:pPr>
            <w:r>
              <w:rPr>
                <w:rFonts w:ascii="Frutiger LT 45 Light;sans-serif" w:hAnsi="Frutiger LT 45 Light;sans-serif"/>
                <w:b/>
                <w:color w:val="000000"/>
                <w:sz w:val="12"/>
              </w:rPr>
              <w:t>Class A Common Stock</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Frutiger LT 45 Light;sans-serif" w:hAnsi="Frutiger LT 45 Light;sans-serif"/>
                <w:b/>
                <w:color w:val="000000"/>
                <w:sz w:val="12"/>
              </w:rPr>
            </w:pPr>
            <w:r>
              <w:rPr>
                <w:rFonts w:ascii="Frutiger LT 45 Light;sans-serif" w:hAnsi="Frutiger LT 45 Light;sans-serif"/>
                <w:b/>
                <w:color w:val="000000"/>
                <w:sz w:val="12"/>
              </w:rPr>
              <w:t>Class B Voting Stock</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Frutiger LT 45 Light;sans-serif" w:hAnsi="Frutiger LT 45 Light;sans-serif"/>
                <w:b/>
                <w:color w:val="000000"/>
                <w:sz w:val="12"/>
              </w:rPr>
            </w:pPr>
            <w:r>
              <w:rPr>
                <w:rFonts w:ascii="Frutiger LT 45 Light;sans-serif" w:hAnsi="Frutiger LT 45 Light;sans-serif"/>
                <w:b/>
                <w:color w:val="000000"/>
                <w:sz w:val="12"/>
              </w:rPr>
              <w:t>Class C Voting Stock</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12"/>
            <w:tcBorders/>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Frutiger LT 45 Light;sans-serif" w:hAnsi="Frutiger LT 45 Light;sans-serif"/>
                <w:b/>
                <w:color w:val="000000"/>
                <w:sz w:val="14"/>
              </w:rPr>
            </w:pPr>
            <w:r>
              <w:rPr>
                <w:rFonts w:ascii="Frutiger LT 45 Light;sans-serif" w:hAnsi="Frutiger LT 45 Light;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Frutiger LT 45 Light;sans-serif" w:hAnsi="Frutiger LT 45 Light;sans-serif"/>
                <w:b/>
                <w:color w:val="000000"/>
                <w:sz w:val="14"/>
              </w:rPr>
            </w:pPr>
            <w:r>
              <w:rPr>
                <w:rFonts w:ascii="Frutiger LT 45 Light;sans-serif" w:hAnsi="Frutiger LT 45 Light;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Frutiger LT 45 Light;sans-serif" w:hAnsi="Frutiger LT 45 Light;sans-serif"/>
                <w:b/>
                <w:color w:val="000000"/>
                <w:sz w:val="14"/>
              </w:rPr>
            </w:pPr>
            <w:r>
              <w:rPr>
                <w:rFonts w:ascii="Frutiger LT 45 Light;sans-serif" w:hAnsi="Frutiger LT 45 Light;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Frutiger LT 45 Light;sans-serif" w:hAnsi="Frutiger LT 45 Light;sans-serif"/>
                <w:b/>
                <w:color w:val="000000"/>
                <w:sz w:val="14"/>
              </w:rPr>
            </w:pPr>
            <w:r>
              <w:rPr>
                <w:rFonts w:ascii="Frutiger LT 45 Light;sans-serif" w:hAnsi="Frutiger LT 45 Light;sans-serif"/>
                <w:b/>
                <w:color w:val="000000"/>
                <w:sz w:val="14"/>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Total Stockholders’ Equity Attributable to TWFG,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left w:val="single" w:sz="12" w:space="0" w:color="000000"/>
            </w:tcBorders>
            <w:tcMar>
              <w:top w:w="0" w:type="dxa"/>
              <w:bottom w:w="0" w:type="dxa"/>
              <w:right w:w="0" w:type="dxa"/>
            </w:tcMar>
            <w:vAlign w:val="center"/>
          </w:tcPr>
          <w:p>
            <w:pPr>
              <w:pStyle w:val="TableContents"/>
              <w:bidi w:val="0"/>
              <w:spacing w:lineRule="auto" w:line="240" w:before="0" w:after="283"/>
              <w:ind w:left="0" w:right="0" w:hanging="180"/>
              <w:jc w:val="center"/>
              <w:rPr>
                <w:rFonts w:ascii="Frutiger LT 45 Light;sans-serif" w:hAnsi="Frutiger LT 45 Light;sans-serif"/>
                <w:b/>
                <w:color w:val="000000"/>
                <w:sz w:val="14"/>
              </w:rPr>
            </w:pPr>
            <w:r>
              <w:rPr>
                <w:rFonts w:ascii="Frutiger LT 45 Light;sans-serif" w:hAnsi="Frutiger LT 45 Light;sans-serif"/>
                <w:b/>
                <w:color w:val="000000"/>
                <w:sz w:val="14"/>
              </w:rPr>
              <w:t>Redeemable Noncontrolling Interest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4"/>
              </w:rPr>
            </w:pPr>
            <w:r>
              <w:rPr>
                <w:rFonts w:ascii="Frutiger LT 45 Light;sans-serif" w:hAnsi="Frutiger LT 45 Light;sans-serif"/>
                <w:b/>
                <w:color w:val="000000"/>
                <w:sz w:val="14"/>
              </w:rPr>
              <w:t>Balance 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14,811,874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7,277,651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33,893,810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58,365 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15,288 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83 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73,884 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201,402 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275,286 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left w:val="single" w:sz="12"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1,338 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5,515 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6,853 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Cash distributions to members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(2,024)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(2,024)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left w:val="single" w:sz="12"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(50)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(68)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1,204 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1,204 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left w:val="single" w:sz="12"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Vesting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134,018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Tax withholding on vesting of equity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(41,809)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(1,195)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(1,195)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left w:val="single" w:sz="12"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4"/>
              </w:rPr>
            </w:pPr>
            <w:r>
              <w:rPr>
                <w:rFonts w:ascii="Frutiger LT 45 Light;sans-serif" w:hAnsi="Frutiger LT 45 Light;sans-serif"/>
                <w:b/>
                <w:color w:val="000000"/>
                <w:sz w:val="14"/>
              </w:rPr>
              <w:t>Balance at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14,904,083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7,277,651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33,893,810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58,374 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16,626 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6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65 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75,214 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204,843 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280,057 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left w:val="single" w:sz="12"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6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1,957 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6,970 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8,927 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left w:val="single" w:sz="12"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73 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Cash distributions to members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(11,239)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(11,239)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(13)</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(37)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(50)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left w:val="single" w:sz="12"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Acquisition of TWFG MGA FL, LLC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9,688 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1,515 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1,515 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left w:val="single" w:sz="12"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4"/>
              </w:rPr>
            </w:pPr>
            <w:r>
              <w:rPr>
                <w:rFonts w:ascii="Frutiger LT 45 Light;sans-serif" w:hAnsi="Frutiger LT 45 Light;sans-serif"/>
                <w:b/>
                <w:color w:val="000000"/>
                <w:sz w:val="14"/>
              </w:rPr>
              <w:t>Balance at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14,904,083 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7,277,651 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33,893,810 </w:t>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59,889 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18,583 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6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52 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78,673 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200,537 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279,210 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left w:val="single" w:sz="12"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6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9,761 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left w:val="single" w:sz="12" w:space="0" w:color="000000"/>
              <w:bottom w:val="single" w:sz="8" w:space="0" w:color="000000"/>
            </w:tcBorders>
            <w:shd w:fill="CCEEFF" w:val="clear"/>
            <w:tcMar>
              <w:top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center"/>
        <w:rPr>
          <w:rFonts w:ascii="Frutiger LT 45 Light;sans-serif" w:hAnsi="Frutiger LT 45 Light;sans-serif"/>
          <w:b w:val="false"/>
          <w:i/>
          <w:color w:val="000000"/>
          <w:sz w:val="20"/>
        </w:rPr>
      </w:pPr>
      <w:r>
        <w:rPr>
          <w:rFonts w:ascii="Frutiger LT 45 Light;sans-serif" w:hAnsi="Frutiger LT 45 Light;sans-serif"/>
          <w:b w:val="false"/>
          <w:i/>
          <w:color w:val="000000"/>
          <w:sz w:val="20"/>
        </w:rPr>
        <w:t>See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7955"/>
                <wp:effectExtent l="0" t="0" r="0" b="0"/>
                <wp:wrapNone/>
                <wp:docPr id="10" name="Frame1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5</w:t>
                      </w:r>
                    </w:p>
                  </w:txbxContent>
                </v:textbox>
                <w10:wrap type="none"/>
              </v:rect>
            </w:pict>
          </mc:Fallback>
        </mc:AlternateContent>
      </w:r>
    </w:p>
    <w:p>
      <w:pPr>
        <w:pStyle w:val="TextBody"/>
        <w:bidi w:val="0"/>
        <w:spacing w:lineRule="auto" w:line="288" w:before="0" w:after="160"/>
        <w:jc w:val="left"/>
        <w:rPr/>
      </w:pPr>
      <w:hyperlink w:anchor="i54bb4eec0dab4063b7a5a162c0b6d974_7">
        <w:r>
          <w:rPr>
            <w:rStyle w:val="InternetLink"/>
          </w:rPr>
          <w:t xml:space="preserve">Table </w:t>
        </w:r>
      </w:hyperlink>
      <w:hyperlink w:anchor="i54bb4eec0dab4063b7a5a162c0b6d974_7">
        <w:r>
          <w:rPr>
            <w:rStyle w:val="InternetLink"/>
          </w:rPr>
          <w:t>of</w:t>
        </w:r>
      </w:hyperlink>
      <w:hyperlink w:anchor="i54bb4eec0dab4063b7a5a162c0b6d974_7">
        <w:r>
          <w:rPr>
            <w:rStyle w:val="InternetLink"/>
          </w:rPr>
          <w:t xml:space="preserve"> Contents</w:t>
        </w:r>
      </w:hyperlink>
    </w:p>
    <w:p>
      <w:pPr>
        <w:pStyle w:val="TextBody"/>
        <w:bidi w:val="0"/>
        <w:spacing w:lineRule="auto" w:line="288" w:before="0" w:after="0"/>
        <w:jc w:val="center"/>
        <w:rPr>
          <w:rFonts w:ascii="Frutiger LT 45 Light;sans-serif" w:hAnsi="Frutiger LT 45 Light;sans-serif"/>
          <w:b/>
          <w:color w:val="000000"/>
          <w:sz w:val="24"/>
        </w:rPr>
      </w:pPr>
      <w:r>
        <w:rPr>
          <w:rFonts w:ascii="Frutiger LT 45 Light;sans-serif" w:hAnsi="Frutiger LT 45 Light;sans-serif"/>
          <w:b/>
          <w:color w:val="000000"/>
          <w:sz w:val="24"/>
        </w:rPr>
        <w:t>TWFG, Inc.</w:t>
      </w:r>
    </w:p>
    <w:p>
      <w:pPr>
        <w:pStyle w:val="TextBody"/>
        <w:bidi w:val="0"/>
        <w:spacing w:lineRule="auto" w:line="288" w:before="0" w:after="0"/>
        <w:jc w:val="center"/>
        <w:rPr>
          <w:rFonts w:ascii="Frutiger LT 45 Light;sans-serif" w:hAnsi="Frutiger LT 45 Light;sans-serif"/>
          <w:b/>
          <w:color w:val="000000"/>
          <w:sz w:val="24"/>
        </w:rPr>
      </w:pPr>
      <w:r>
        <w:rPr>
          <w:rFonts w:ascii="Frutiger LT 45 Light;sans-serif" w:hAnsi="Frutiger LT 45 Light;sans-serif"/>
          <w:b/>
          <w:color w:val="000000"/>
          <w:sz w:val="24"/>
        </w:rPr>
        <w:t>Condensed Consolidated Statements of Cash Flows</w:t>
      </w:r>
    </w:p>
    <w:p>
      <w:pPr>
        <w:pStyle w:val="TextBody"/>
        <w:bidi w:val="0"/>
        <w:spacing w:lineRule="auto" w:line="288" w:before="0" w:after="0"/>
        <w:jc w:val="center"/>
        <w:rPr>
          <w:rFonts w:ascii="Frutiger LT 45 Light;sans-serif" w:hAnsi="Frutiger LT 45 Light;sans-serif"/>
          <w:b w:val="false"/>
          <w:i/>
          <w:color w:val="000000"/>
          <w:sz w:val="20"/>
        </w:rPr>
      </w:pPr>
      <w:r>
        <w:rPr>
          <w:rFonts w:ascii="Frutiger LT 45 Light;sans-serif" w:hAnsi="Frutiger LT 45 Light;sans-serif"/>
          <w:b w:val="false"/>
          <w:i/>
          <w:color w:val="000000"/>
          <w:sz w:val="20"/>
        </w:rPr>
        <w:t>(Amounts in thousands)</w:t>
      </w:r>
    </w:p>
    <w:p>
      <w:pPr>
        <w:pStyle w:val="TextBody"/>
        <w:bidi w:val="0"/>
        <w:spacing w:lineRule="auto" w:line="288" w:before="0" w:after="160"/>
        <w:jc w:val="center"/>
        <w:rPr>
          <w:rFonts w:ascii="Frutiger LT 45 Light;sans-serif" w:hAnsi="Frutiger LT 45 Light;sans-serif"/>
          <w:b w:val="false"/>
          <w:i/>
          <w:color w:val="000000"/>
          <w:sz w:val="20"/>
        </w:rPr>
      </w:pPr>
      <w:r>
        <w:rPr>
          <w:rFonts w:ascii="Frutiger LT 45 Light;sans-serif" w:hAnsi="Frutiger LT 45 Light;sans-serif"/>
          <w:b w:val="false"/>
          <w:i/>
          <w:color w:val="000000"/>
          <w:sz w:val="20"/>
        </w:rPr>
        <w:t>(unaudited)</w:t>
      </w:r>
    </w:p>
    <w:tbl>
      <w:tblPr>
        <w:tblW w:w="8225" w:type="dxa"/>
        <w:jc w:val="left"/>
        <w:tblInd w:w="0" w:type="dxa"/>
        <w:tblLayout w:type="fixed"/>
        <w:tblCellMar>
          <w:top w:w="28" w:type="dxa"/>
          <w:left w:w="28" w:type="dxa"/>
          <w:bottom w:w="28" w:type="dxa"/>
          <w:right w:w="28" w:type="dxa"/>
        </w:tblCellMar>
      </w:tblPr>
      <w:tblGrid>
        <w:gridCol w:w="2037"/>
        <w:gridCol w:w="1787"/>
        <w:gridCol w:w="1800"/>
        <w:gridCol w:w="109"/>
        <w:gridCol w:w="109"/>
        <w:gridCol w:w="109"/>
        <w:gridCol w:w="196"/>
        <w:gridCol w:w="646"/>
        <w:gridCol w:w="109"/>
        <w:gridCol w:w="109"/>
        <w:gridCol w:w="109"/>
        <w:gridCol w:w="109"/>
        <w:gridCol w:w="196"/>
        <w:gridCol w:w="646"/>
        <w:gridCol w:w="154"/>
      </w:tblGrid>
      <w:tr>
        <w:trPr/>
        <w:tc>
          <w:tcPr>
            <w:tcW w:w="2037"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Six Months Ended</w:t>
              <w:br/>
              <w:t>June 30,</w:t>
            </w:r>
          </w:p>
        </w:tc>
      </w:tr>
      <w:tr>
        <w:trPr/>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2025</w:t>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4"/>
              </w:rPr>
            </w:pPr>
            <w:r>
              <w:rPr>
                <w:rFonts w:ascii="Frutiger LT 45 Light;sans-serif" w:hAnsi="Frutiger LT 45 Light;sans-serif"/>
                <w:b/>
                <w:color w:val="000000"/>
                <w:sz w:val="14"/>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30,330 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15,853 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Adjustments to reconcile net income to 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13,234 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7,260 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Net gain on sales of intangible assets and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(701)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(573)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2,719 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Non-cash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636 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Other non-cash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Change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Commissions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(9,504)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1,833 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(6,772)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(1,514)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Other current and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(3,859)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(1,606)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Commissions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5,561 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2,375 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(848)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(546)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(1,180)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4"/>
              </w:rPr>
            </w:pPr>
            <w:r>
              <w:rPr>
                <w:rFonts w:ascii="Frutiger LT 45 Light;sans-serif" w:hAnsi="Frutiger LT 45 Light;sans-serif"/>
                <w:b/>
                <w:color w:val="000000"/>
                <w:sz w:val="14"/>
              </w:rPr>
              <w:t xml:space="preserve">Net cash provided by operating activities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32,537 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25,260 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4"/>
              </w:rPr>
            </w:pPr>
            <w:r>
              <w:rPr>
                <w:rFonts w:ascii="Frutiger LT 45 Light;sans-serif" w:hAnsi="Frutiger LT 45 Light;sans-serif"/>
                <w:b/>
                <w:color w:val="000000"/>
                <w:sz w:val="14"/>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Proceeds from sale of books of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573 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Proceeds from sale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Disposal of fixed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Purchase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(53,234)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(47,226)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Purchase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(797)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4"/>
              </w:rPr>
            </w:pPr>
            <w:r>
              <w:rPr>
                <w:rFonts w:ascii="Frutiger LT 45 Light;sans-serif" w:hAnsi="Frutiger LT 45 Light;sans-serif"/>
                <w:b/>
                <w:color w:val="000000"/>
                <w:sz w:val="14"/>
              </w:rPr>
              <w:t xml:space="preserve">Net cash used in investing activities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(53,330)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(46,706)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4"/>
              </w:rPr>
            </w:pPr>
            <w:r>
              <w:rPr>
                <w:rFonts w:ascii="Frutiger LT 45 Light;sans-serif" w:hAnsi="Frutiger LT 45 Light;sans-serif"/>
                <w:b/>
                <w:color w:val="000000"/>
                <w:sz w:val="14"/>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Repayment of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(979)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(949)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Distributions to members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(18,564)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(13,263)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Repurchase of 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(42,857)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Tax withholding on vesting of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(1,195)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Increase in carrier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10,971 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5,623 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Decrease in carrier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(1,945)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(2,790)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Payment of deferred acquisition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(896)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(302)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4"/>
              </w:rPr>
            </w:pPr>
            <w:r>
              <w:rPr>
                <w:rFonts w:ascii="Frutiger LT 45 Light;sans-serif" w:hAnsi="Frutiger LT 45 Light;sans-serif"/>
                <w:b/>
                <w:color w:val="000000"/>
                <w:sz w:val="14"/>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(54,356)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(12,876)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Frutiger LT 45 Light;sans-serif" w:hAnsi="Frutiger LT 45 Light;sans-serif"/>
          <w:b w:val="false"/>
          <w:i/>
          <w:color w:val="000000"/>
          <w:sz w:val="20"/>
        </w:rPr>
      </w:pPr>
      <w:r>
        <w:rPr>
          <w:rFonts w:ascii="Frutiger LT 45 Light;sans-serif" w:hAnsi="Frutiger LT 45 Light;sans-serif"/>
          <w:b w:val="false"/>
          <w:i/>
          <w:color w:val="000000"/>
          <w:sz w:val="20"/>
        </w:rPr>
        <w:t>See Notes to the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7955"/>
                <wp:effectExtent l="0" t="0" r="0" b="0"/>
                <wp:wrapNone/>
                <wp:docPr id="11" name="Frame1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6</w:t>
                      </w:r>
                    </w:p>
                  </w:txbxContent>
                </v:textbox>
                <w10:wrap type="none"/>
              </v:rect>
            </w:pict>
          </mc:Fallback>
        </mc:AlternateContent>
      </w:r>
    </w:p>
    <w:p>
      <w:pPr>
        <w:pStyle w:val="TextBody"/>
        <w:bidi w:val="0"/>
        <w:spacing w:lineRule="auto" w:line="288" w:before="0" w:after="160"/>
        <w:jc w:val="left"/>
        <w:rPr/>
      </w:pPr>
      <w:hyperlink w:anchor="i54bb4eec0dab4063b7a5a162c0b6d974_7">
        <w:r>
          <w:rPr>
            <w:rStyle w:val="InternetLink"/>
          </w:rPr>
          <w:t xml:space="preserve">Table </w:t>
        </w:r>
      </w:hyperlink>
      <w:hyperlink w:anchor="i54bb4eec0dab4063b7a5a162c0b6d974_7">
        <w:r>
          <w:rPr>
            <w:rStyle w:val="InternetLink"/>
          </w:rPr>
          <w:t>of</w:t>
        </w:r>
      </w:hyperlink>
      <w:hyperlink w:anchor="i54bb4eec0dab4063b7a5a162c0b6d974_7">
        <w:r>
          <w:rPr>
            <w:rStyle w:val="InternetLink"/>
          </w:rPr>
          <w:t xml:space="preserve"> Contents</w:t>
        </w:r>
      </w:hyperlink>
    </w:p>
    <w:p>
      <w:pPr>
        <w:pStyle w:val="TextBody"/>
        <w:bidi w:val="0"/>
        <w:spacing w:lineRule="auto" w:line="288" w:before="0" w:after="0"/>
        <w:jc w:val="center"/>
        <w:rPr>
          <w:rFonts w:ascii="Frutiger LT 45 Light;sans-serif" w:hAnsi="Frutiger LT 45 Light;sans-serif"/>
          <w:b/>
          <w:color w:val="000000"/>
          <w:sz w:val="24"/>
        </w:rPr>
      </w:pPr>
      <w:r>
        <w:rPr>
          <w:rFonts w:ascii="Frutiger LT 45 Light;sans-serif" w:hAnsi="Frutiger LT 45 Light;sans-serif"/>
          <w:b/>
          <w:color w:val="000000"/>
          <w:sz w:val="24"/>
        </w:rPr>
        <w:t>TWFG, Inc.</w:t>
      </w:r>
    </w:p>
    <w:p>
      <w:pPr>
        <w:pStyle w:val="TextBody"/>
        <w:bidi w:val="0"/>
        <w:spacing w:lineRule="auto" w:line="288" w:before="0" w:after="0"/>
        <w:jc w:val="center"/>
        <w:rPr>
          <w:rFonts w:ascii="Frutiger LT 45 Light;sans-serif" w:hAnsi="Frutiger LT 45 Light;sans-serif"/>
          <w:b/>
          <w:color w:val="000000"/>
          <w:sz w:val="24"/>
        </w:rPr>
      </w:pPr>
      <w:r>
        <w:rPr>
          <w:rFonts w:ascii="Frutiger LT 45 Light;sans-serif" w:hAnsi="Frutiger LT 45 Light;sans-serif"/>
          <w:b/>
          <w:color w:val="000000"/>
          <w:sz w:val="24"/>
        </w:rPr>
        <w:t>Condensed Consolidated Statements of Cash Flows (continued)</w:t>
      </w:r>
    </w:p>
    <w:p>
      <w:pPr>
        <w:pStyle w:val="TextBody"/>
        <w:bidi w:val="0"/>
        <w:spacing w:lineRule="auto" w:line="288" w:before="0" w:after="0"/>
        <w:jc w:val="center"/>
        <w:rPr>
          <w:rFonts w:ascii="Frutiger LT 45 Light;sans-serif" w:hAnsi="Frutiger LT 45 Light;sans-serif"/>
          <w:b w:val="false"/>
          <w:i/>
          <w:color w:val="000000"/>
          <w:sz w:val="20"/>
        </w:rPr>
      </w:pPr>
      <w:r>
        <w:rPr>
          <w:rFonts w:ascii="Frutiger LT 45 Light;sans-serif" w:hAnsi="Frutiger LT 45 Light;sans-serif"/>
          <w:b w:val="false"/>
          <w:i/>
          <w:color w:val="000000"/>
          <w:sz w:val="20"/>
        </w:rPr>
        <w:t>(Amounts in thousands)</w:t>
      </w:r>
    </w:p>
    <w:p>
      <w:pPr>
        <w:pStyle w:val="TextBody"/>
        <w:bidi w:val="0"/>
        <w:spacing w:lineRule="auto" w:line="288" w:before="0" w:after="160"/>
        <w:jc w:val="center"/>
        <w:rPr>
          <w:rFonts w:ascii="Frutiger LT 45 Light;sans-serif" w:hAnsi="Frutiger LT 45 Light;sans-serif"/>
          <w:b w:val="false"/>
          <w:i/>
          <w:color w:val="000000"/>
          <w:sz w:val="20"/>
        </w:rPr>
      </w:pPr>
      <w:r>
        <w:rPr>
          <w:rFonts w:ascii="Frutiger LT 45 Light;sans-serif" w:hAnsi="Frutiger LT 45 Light;sans-serif"/>
          <w:b w:val="false"/>
          <w:i/>
          <w:color w:val="000000"/>
          <w:sz w:val="20"/>
        </w:rPr>
        <w:t>(unaudited)</w:t>
      </w:r>
    </w:p>
    <w:tbl>
      <w:tblPr>
        <w:tblW w:w="9126" w:type="dxa"/>
        <w:jc w:val="left"/>
        <w:tblInd w:w="0" w:type="dxa"/>
        <w:tblLayout w:type="fixed"/>
        <w:tblCellMar>
          <w:top w:w="28" w:type="dxa"/>
          <w:left w:w="28" w:type="dxa"/>
          <w:bottom w:w="28" w:type="dxa"/>
          <w:right w:w="28" w:type="dxa"/>
        </w:tblCellMar>
      </w:tblPr>
      <w:tblGrid>
        <w:gridCol w:w="2303"/>
        <w:gridCol w:w="2026"/>
        <w:gridCol w:w="2031"/>
        <w:gridCol w:w="109"/>
        <w:gridCol w:w="109"/>
        <w:gridCol w:w="109"/>
        <w:gridCol w:w="196"/>
        <w:gridCol w:w="721"/>
        <w:gridCol w:w="109"/>
        <w:gridCol w:w="109"/>
        <w:gridCol w:w="109"/>
        <w:gridCol w:w="109"/>
        <w:gridCol w:w="196"/>
        <w:gridCol w:w="736"/>
        <w:gridCol w:w="154"/>
      </w:tblGrid>
      <w:tr>
        <w:trPr/>
        <w:tc>
          <w:tcPr>
            <w:tcW w:w="2303"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Six Months Ended</w:t>
              <w:br/>
              <w:t>June 30,</w:t>
            </w:r>
          </w:p>
        </w:tc>
      </w:tr>
      <w:tr>
        <w:trPr/>
        <w:tc>
          <w:tcPr>
            <w:tcW w:w="6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2025</w:t>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Net change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(75,149)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(34,322)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Cash, cash equivalents and restricted cash-beginning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167,900 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205,323 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Cash, cash equivalents and restricted cash-ending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92,751 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171,001 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Net change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(82,181)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(35,945)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Net change in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7,032 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1,623 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4"/>
              </w:rPr>
            </w:pPr>
            <w:r>
              <w:rPr>
                <w:rFonts w:ascii="Frutiger LT 45 Light;sans-serif" w:hAnsi="Frutiger LT 45 Light;sans-serif"/>
                <w:b/>
                <w:color w:val="000000"/>
                <w:sz w:val="14"/>
              </w:rPr>
              <w:t>Net change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(75,149)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(34,322)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4"/>
              </w:rPr>
            </w:pPr>
            <w:r>
              <w:rPr>
                <w:rFonts w:ascii="Frutiger LT 45 Light;sans-serif" w:hAnsi="Frutiger LT 45 Light;sans-serif"/>
                <w:b/>
                <w:color w:val="000000"/>
                <w:sz w:val="14"/>
              </w:rPr>
              <w:t>Supplemental disclosures of cash flow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Cash paid for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Cash paid for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3,060 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4"/>
              </w:rPr>
            </w:pPr>
            <w:r>
              <w:rPr>
                <w:rFonts w:ascii="Frutiger LT 45 Light;sans-serif" w:hAnsi="Frutiger LT 45 Light;sans-serif"/>
                <w:b/>
                <w:color w:val="000000"/>
                <w:sz w:val="14"/>
              </w:rPr>
              <w:t>Non-cash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Additions to intangible assets and offsetting additions to deferred acquisition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2,980 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Additions to intangible assets and offsetting to redeemable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9,688 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4"/>
              </w:rPr>
            </w:pPr>
            <w:r>
              <w:rPr>
                <w:rFonts w:ascii="Frutiger LT 45 Light;sans-serif" w:hAnsi="Frutiger LT 45 Light;sans-serif"/>
                <w:b/>
                <w:color w:val="000000"/>
                <w:sz w:val="14"/>
              </w:rPr>
              <w:t>Non-cash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Repurchase of Class A common stock and offsetting additions to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Frutiger LT 45 Light;sans-serif" w:hAnsi="Frutiger LT 45 Light;sans-serif"/>
          <w:b w:val="false"/>
          <w:i/>
          <w:color w:val="000000"/>
          <w:sz w:val="20"/>
        </w:rPr>
      </w:pPr>
      <w:r>
        <w:rPr>
          <w:rFonts w:ascii="Frutiger LT 45 Light;sans-serif" w:hAnsi="Frutiger LT 45 Light;sans-serif"/>
          <w:b w:val="false"/>
          <w:i/>
          <w:color w:val="000000"/>
          <w:sz w:val="20"/>
        </w:rPr>
        <w:t>See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7955"/>
                <wp:effectExtent l="0" t="0" r="0" b="0"/>
                <wp:wrapNone/>
                <wp:docPr id="12" name="Frame1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7</w:t>
                      </w:r>
                    </w:p>
                  </w:txbxContent>
                </v:textbox>
                <w10:wrap type="none"/>
              </v:rect>
            </w:pict>
          </mc:Fallback>
        </mc:AlternateContent>
      </w:r>
    </w:p>
    <w:p>
      <w:pPr>
        <w:pStyle w:val="TextBody"/>
        <w:bidi w:val="0"/>
        <w:spacing w:lineRule="auto" w:line="288" w:before="0" w:after="160"/>
        <w:jc w:val="left"/>
        <w:rPr/>
      </w:pPr>
      <w:hyperlink w:anchor="i54bb4eec0dab4063b7a5a162c0b6d974_7">
        <w:r>
          <w:rPr>
            <w:rStyle w:val="InternetLink"/>
          </w:rPr>
          <w:t xml:space="preserve">Table </w:t>
        </w:r>
      </w:hyperlink>
      <w:hyperlink w:anchor="i54bb4eec0dab4063b7a5a162c0b6d974_7">
        <w:r>
          <w:rPr>
            <w:rStyle w:val="InternetLink"/>
          </w:rPr>
          <w:t>of</w:t>
        </w:r>
      </w:hyperlink>
      <w:hyperlink w:anchor="i54bb4eec0dab4063b7a5a162c0b6d974_7">
        <w:r>
          <w:rPr>
            <w:rStyle w:val="InternetLink"/>
          </w:rPr>
          <w:t xml:space="preserve"> Contents</w:t>
        </w:r>
      </w:hyperlink>
    </w:p>
    <w:p>
      <w:pPr>
        <w:pStyle w:val="TextBody"/>
        <w:bidi w:val="0"/>
        <w:spacing w:lineRule="auto" w:line="288" w:before="0" w:after="0"/>
        <w:jc w:val="center"/>
        <w:rPr>
          <w:rFonts w:ascii="Frutiger LT 45 Light;sans-serif" w:hAnsi="Frutiger LT 45 Light;sans-serif"/>
          <w:b/>
          <w:color w:val="000000"/>
          <w:sz w:val="24"/>
        </w:rPr>
      </w:pPr>
      <w:r>
        <w:rPr>
          <w:rFonts w:ascii="Frutiger LT 45 Light;sans-serif" w:hAnsi="Frutiger LT 45 Light;sans-serif"/>
          <w:b/>
          <w:color w:val="000000"/>
          <w:sz w:val="24"/>
        </w:rPr>
        <w:t>TWFG, Inc.</w:t>
      </w:r>
    </w:p>
    <w:p>
      <w:pPr>
        <w:pStyle w:val="TextBody"/>
        <w:bidi w:val="0"/>
        <w:spacing w:lineRule="auto" w:line="288" w:before="0" w:after="0"/>
        <w:jc w:val="center"/>
        <w:rPr>
          <w:rFonts w:ascii="Frutiger LT 45 Light;sans-serif" w:hAnsi="Frutiger LT 45 Light;sans-serif"/>
          <w:b/>
          <w:color w:val="000000"/>
          <w:sz w:val="24"/>
        </w:rPr>
      </w:pPr>
      <w:r>
        <w:rPr>
          <w:rFonts w:ascii="Frutiger LT 45 Light;sans-serif" w:hAnsi="Frutiger LT 45 Light;sans-serif"/>
          <w:b/>
          <w:color w:val="000000"/>
          <w:sz w:val="24"/>
        </w:rPr>
        <w:t>Notes to the Condensed Consolidated Financial Statements</w:t>
      </w:r>
    </w:p>
    <w:p>
      <w:pPr>
        <w:pStyle w:val="TextBody"/>
        <w:bidi w:val="0"/>
        <w:spacing w:lineRule="auto" w:line="288" w:before="0" w:after="160"/>
        <w:jc w:val="center"/>
        <w:rPr/>
      </w:pPr>
      <w:r>
        <w:rPr>
          <w:rFonts w:ascii="Frutiger LT 45 Light;sans-serif" w:hAnsi="Frutiger LT 45 Light;sans-serif"/>
          <w:b w:val="false"/>
          <w:i/>
          <w:color w:val="000000"/>
          <w:sz w:val="20"/>
        </w:rPr>
        <w:t>(unaudited)</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Frutiger LT 45 Light;sans-serif" w:hAnsi="Frutiger LT 45 Light;sans-serif"/>
          <w:b/>
          <w:color w:val="000000"/>
          <w:sz w:val="24"/>
        </w:rPr>
        <w:t>1.</w:t>
      </w:r>
      <w:r>
        <w:rPr>
          <w:rFonts w:ascii="Frutiger LT 45 Light;sans-serif" w:hAnsi="Frutiger LT 45 Light;sans-serif"/>
          <w:b/>
          <w:color w:val="000000"/>
          <w:sz w:val="24"/>
        </w:rPr>
        <w:t>ORGANIZATION AND BASIS OF PRESENTATION</w:t>
      </w:r>
    </w:p>
    <w:p>
      <w:pPr>
        <w:pStyle w:val="TextBody"/>
        <w:bidi w:val="0"/>
        <w:spacing w:lineRule="auto" w:line="288" w:before="0" w:after="160"/>
        <w:jc w:val="left"/>
        <w:rPr>
          <w:rFonts w:ascii="Frutiger LT 45 Light;sans-serif" w:hAnsi="Frutiger LT 45 Light;sans-serif"/>
          <w:b/>
          <w:i/>
          <w:color w:val="000000"/>
          <w:sz w:val="20"/>
        </w:rPr>
      </w:pPr>
      <w:r>
        <w:rPr>
          <w:rFonts w:ascii="Frutiger LT 45 Light;sans-serif" w:hAnsi="Frutiger LT 45 Light;sans-serif"/>
          <w:b/>
          <w:i/>
          <w:color w:val="000000"/>
          <w:sz w:val="20"/>
        </w:rPr>
        <w:t>Organization</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TWFG, Inc. (“TWFG” or the “Company”) was incorporated as a Delaware corporation on January 8, 2024 for the purpose of facilitating an initial public offering (“IPO”). TWFG is a holding company with its principal asset being a controlling ownership in TWFG Holding Company, LLC (“TWFG Holding”) and its consolidated subsidiaries. All of TWFG’s business is conducted through TWFG Holding and its consolidated subsidiaries, and the financial results of TWFG Holding and its consolidated subsidiaries are included in the Condensed Consolidated Financial Statements of TWFG.</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TWFG is a leading, high-growth, independent distribution platform for personal and commercial insurance in the United States. TWFG and its subsidiaries operate through one reportable segment, which is discussed in more detail in Note 15 Segment.</w:t>
      </w:r>
    </w:p>
    <w:p>
      <w:pPr>
        <w:pStyle w:val="TextBody"/>
        <w:bidi w:val="0"/>
        <w:spacing w:lineRule="auto" w:line="288" w:before="0" w:after="160"/>
        <w:jc w:val="left"/>
        <w:rPr>
          <w:rFonts w:ascii="Frutiger LT 45 Light;sans-serif" w:hAnsi="Frutiger LT 45 Light;sans-serif"/>
          <w:b/>
          <w:i/>
          <w:color w:val="000000"/>
          <w:sz w:val="20"/>
        </w:rPr>
      </w:pPr>
      <w:r>
        <w:rPr>
          <w:rFonts w:ascii="Frutiger LT 45 Light;sans-serif" w:hAnsi="Frutiger LT 45 Light;sans-serif"/>
          <w:b/>
          <w:i/>
          <w:color w:val="000000"/>
          <w:sz w:val="20"/>
        </w:rPr>
        <w:t>Basis of Presentation</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The accompanying Condensed Consolidated Financial Statements of the Company and its consolidated subsidiaries are prepared in conformity with accounting principles generally accepted in the United States of America (“GAAP”) and applicable rules and regulations of the Securities and Exchange Commission (“SEC”) regarding interim financial reporting. The interim financial information is unaudited but reflects all normal adjustments that are necessary to provide a fair statement of results for the interim periods presented. Accordingly, these Condensed Consolidated Financial Statements should be read in conjunction with the Company’s audited Consolidated Financial Statements and the notes thereto for the year ended December 31, 2025 included in the Company’s Annual Report on Form 10-K filed with the SEC on March 10, 2026 (the “Annual Report”). The Condensed Consolidated Balance Sheet as of December 31, 2025 has been derived from the audited financial statements included in the Company’s Annual Report on Form 10-K for the year ended December 31, 2025.</w:t>
      </w:r>
    </w:p>
    <w:p>
      <w:pPr>
        <w:pStyle w:val="TextBody"/>
        <w:bidi w:val="0"/>
        <w:spacing w:lineRule="auto" w:line="288" w:before="0" w:after="160"/>
        <w:jc w:val="left"/>
        <w:rPr>
          <w:rFonts w:ascii="Frutiger LT 45 Light;sans-serif" w:hAnsi="Frutiger LT 45 Light;sans-serif"/>
          <w:b/>
          <w:i/>
          <w:color w:val="000000"/>
          <w:sz w:val="20"/>
        </w:rPr>
      </w:pPr>
      <w:r>
        <w:rPr>
          <w:rFonts w:ascii="Frutiger LT 45 Light;sans-serif" w:hAnsi="Frutiger LT 45 Light;sans-serif"/>
          <w:b/>
          <w:i/>
          <w:color w:val="000000"/>
          <w:sz w:val="20"/>
        </w:rPr>
        <w:t>Use of Estimates</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 xml:space="preserve">The preparation of the Condensed Consolidated Financial Statements and notes thereto requires management to make estimates, judgments, and assumptions that affect the amounts reported in the Condensed Consolidated Financial Statements and in the notes thereto. Such estimates and assumptions could change in the future as circumstances change or more information becomes available, which could affect the amounts reported and disclosed herein.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Frutiger LT 45 Light;sans-serif" w:hAnsi="Frutiger LT 45 Light;sans-serif"/>
          <w:b/>
          <w:color w:val="000000"/>
          <w:sz w:val="24"/>
        </w:rPr>
        <w:t>2.</w:t>
      </w:r>
      <w:r>
        <w:rPr>
          <w:rFonts w:ascii="Frutiger LT 45 Light;sans-serif" w:hAnsi="Frutiger LT 45 Light;sans-serif"/>
          <w:b/>
          <w:color w:val="000000"/>
          <w:sz w:val="24"/>
        </w:rPr>
        <w:t>SUMMARY OF SIGNIFICANT ACCOUNTING POLICIES</w:t>
      </w:r>
    </w:p>
    <w:p>
      <w:pPr>
        <w:pStyle w:val="TextBody"/>
        <w:bidi w:val="0"/>
        <w:spacing w:lineRule="auto" w:line="288" w:before="0" w:after="160"/>
        <w:jc w:val="left"/>
        <w:rPr/>
      </w:pPr>
      <w:r>
        <w:rPr>
          <w:rFonts w:ascii="Frutiger LT 45 Light;sans-serif" w:hAnsi="Frutiger LT 45 Light;sans-serif"/>
          <w:b w:val="false"/>
          <w:color w:val="000000"/>
          <w:sz w:val="20"/>
          <w:shd w:fill="FFFFFF" w:val="clear"/>
        </w:rPr>
        <w:t xml:space="preserve">There have been no material changes in the Company’s significant accounting policies from those that were disclosed for the year ended </w:t>
      </w:r>
      <w:r>
        <w:rPr>
          <w:rFonts w:ascii="Frutiger LT 45 Light;sans-serif" w:hAnsi="Frutiger LT 45 Light;sans-serif"/>
          <w:b w:val="false"/>
          <w:color w:val="000000"/>
          <w:sz w:val="20"/>
        </w:rPr>
        <w:t>December 31, 2025</w:t>
      </w:r>
      <w:r>
        <w:rPr>
          <w:color w:val="000000"/>
          <w:shd w:fill="FFFFFF" w:val="clear"/>
        </w:rPr>
        <w:t xml:space="preserve"> </w:t>
      </w:r>
      <w:r>
        <w:rPr>
          <w:rFonts w:ascii="Frutiger LT 45 Light;sans-serif" w:hAnsi="Frutiger LT 45 Light;sans-serif"/>
          <w:b w:val="false"/>
          <w:color w:val="000000"/>
          <w:sz w:val="20"/>
          <w:shd w:fill="FFFFFF" w:val="clear"/>
        </w:rPr>
        <w:t>in the Annual Report.</w:t>
      </w:r>
    </w:p>
    <w:p>
      <w:pPr>
        <w:pStyle w:val="TextBody"/>
        <w:bidi w:val="0"/>
        <w:spacing w:lineRule="auto" w:line="288" w:before="0" w:after="160"/>
        <w:jc w:val="left"/>
        <w:rPr>
          <w:rFonts w:ascii="Frutiger LT 45 Light;sans-serif" w:hAnsi="Frutiger LT 45 Light;sans-serif"/>
          <w:b/>
          <w:i/>
          <w:color w:val="000000"/>
          <w:sz w:val="20"/>
        </w:rPr>
      </w:pPr>
      <w:r>
        <w:rPr>
          <w:rFonts w:ascii="Frutiger LT 45 Light;sans-serif" w:hAnsi="Frutiger LT 45 Light;sans-serif"/>
          <w:b/>
          <w:i/>
          <w:color w:val="000000"/>
          <w:sz w:val="20"/>
        </w:rPr>
        <w:t>Recent Accounting Pronouncements Not Yet Adopted</w:t>
      </w:r>
    </w:p>
    <w:p>
      <w:pPr>
        <w:pStyle w:val="TextBody"/>
        <w:bidi w:val="0"/>
        <w:spacing w:lineRule="auto" w:line="288" w:before="0" w:after="160"/>
        <w:jc w:val="left"/>
        <w:rPr>
          <w:rFonts w:ascii="Frutiger LT 45 Light;sans-serif" w:hAnsi="Frutiger LT 45 Light;sans-serif"/>
          <w:b w:val="false"/>
          <w:i/>
          <w:color w:val="000000"/>
          <w:sz w:val="20"/>
          <w:shd w:fill="FFFFFF" w:val="clear"/>
        </w:rPr>
      </w:pPr>
      <w:r>
        <w:rPr>
          <w:rFonts w:ascii="Frutiger LT 45 Light;sans-serif" w:hAnsi="Frutiger LT 45 Light;sans-serif"/>
          <w:b w:val="false"/>
          <w:i/>
          <w:color w:val="000000"/>
          <w:sz w:val="20"/>
          <w:shd w:fill="FFFFFF" w:val="clear"/>
        </w:rPr>
        <w:t>Disaggregation of Income Statement Expense</w:t>
      </w:r>
    </w:p>
    <w:p>
      <w:pPr>
        <w:pStyle w:val="TextBody"/>
        <w:bidi w:val="0"/>
        <w:spacing w:lineRule="auto" w:line="288" w:before="0" w:after="160"/>
        <w:jc w:val="left"/>
        <w:rPr>
          <w:rFonts w:ascii="Frutiger LT 45 Light;sans-serif" w:hAnsi="Frutiger LT 45 Light;sans-serif"/>
          <w:b w:val="false"/>
          <w:color w:val="000000"/>
          <w:sz w:val="20"/>
          <w:shd w:fill="FFFFFF" w:val="clear"/>
        </w:rPr>
      </w:pPr>
      <w:r>
        <w:rPr>
          <w:rFonts w:ascii="Frutiger LT 45 Light;sans-serif" w:hAnsi="Frutiger LT 45 Light;sans-serif"/>
          <w:b w:val="false"/>
          <w:color w:val="000000"/>
          <w:sz w:val="20"/>
          <w:shd w:fill="FFFFFF" w:val="clear"/>
        </w:rPr>
        <w:t>On November 4, 2024, the Financial Accounting Standards Board (“FASB”) issued Accounting Standards Update (“ASU”) 2024-03, Disaggregation of Income Statement Expenses (DISE), that requires an entity to disclose in the footnote a tabular format that disaggregates relevant expense captions into the following natural expense categories: purchases of inventory, employee compensation, depreciation, intangible asset amortization, and depletion. This guidance is effective for annual reporting periods beginning after December 15, 2026 and interim reporting periods beginning after December 15, 2027. The requirements will be applied prospectively, with the option for retrospective application and early adoption is permitted. The Company is currently evaluating the impact of adopting this guidance.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7955"/>
                <wp:effectExtent l="0" t="0" r="0" b="0"/>
                <wp:wrapNone/>
                <wp:docPr id="13" name="Frame1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8</w:t>
                      </w:r>
                    </w:p>
                  </w:txbxContent>
                </v:textbox>
                <w10:wrap type="none"/>
              </v:rect>
            </w:pict>
          </mc:Fallback>
        </mc:AlternateContent>
      </w:r>
    </w:p>
    <w:p>
      <w:pPr>
        <w:pStyle w:val="TextBody"/>
        <w:bidi w:val="0"/>
        <w:spacing w:lineRule="auto" w:line="288" w:before="0" w:after="160"/>
        <w:jc w:val="left"/>
        <w:rPr/>
      </w:pPr>
      <w:hyperlink w:anchor="i54bb4eec0dab4063b7a5a162c0b6d974_7">
        <w:r>
          <w:rPr>
            <w:rStyle w:val="InternetLink"/>
          </w:rPr>
          <w:t xml:space="preserve">Table </w:t>
        </w:r>
      </w:hyperlink>
      <w:hyperlink w:anchor="i54bb4eec0dab4063b7a5a162c0b6d974_7">
        <w:r>
          <w:rPr>
            <w:rStyle w:val="InternetLink"/>
          </w:rPr>
          <w:t>of</w:t>
        </w:r>
      </w:hyperlink>
      <w:hyperlink w:anchor="i54bb4eec0dab4063b7a5a162c0b6d974_7">
        <w:r>
          <w:rPr>
            <w:rStyle w:val="InternetLink"/>
          </w:rPr>
          <w:t xml:space="preserve"> Contents</w:t>
        </w:r>
      </w:hyperlink>
    </w:p>
    <w:p>
      <w:pPr>
        <w:pStyle w:val="TextBody"/>
        <w:bidi w:val="0"/>
        <w:spacing w:lineRule="auto" w:line="288" w:before="0" w:after="160"/>
        <w:jc w:val="left"/>
        <w:rPr/>
      </w:pPr>
      <w:r>
        <w:rPr>
          <w:rFonts w:ascii="Frutiger LT 45 Light;sans-serif" w:hAnsi="Frutiger LT 45 Light;sans-serif"/>
          <w:b/>
          <w:color w:val="000000"/>
          <w:sz w:val="24"/>
        </w:rPr>
        <w:t>3.</w:t>
      </w:r>
      <w:r>
        <w:rPr>
          <w:rFonts w:ascii="Frutiger LT 45 Light;sans-serif" w:hAnsi="Frutiger LT 45 Light;sans-serif"/>
          <w:b/>
          <w:color w:val="000000"/>
          <w:sz w:val="24"/>
        </w:rPr>
        <w:t>REVENUES</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The following table presents the disaggregation of revenues by major source (in thousands):</w:t>
      </w:r>
    </w:p>
    <w:tbl>
      <w:tblPr>
        <w:tblW w:w="7651" w:type="dxa"/>
        <w:jc w:val="left"/>
        <w:tblInd w:w="0" w:type="dxa"/>
        <w:tblLayout w:type="fixed"/>
        <w:tblCellMar>
          <w:top w:w="28" w:type="dxa"/>
          <w:left w:w="28" w:type="dxa"/>
          <w:bottom w:w="28" w:type="dxa"/>
          <w:right w:w="28" w:type="dxa"/>
        </w:tblCellMar>
      </w:tblPr>
      <w:tblGrid>
        <w:gridCol w:w="658"/>
        <w:gridCol w:w="578"/>
        <w:gridCol w:w="57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154"/>
      </w:tblGrid>
      <w:tr>
        <w:trPr/>
        <w:tc>
          <w:tcPr>
            <w:tcW w:w="65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Three Months Ended</w:t>
              <w:br/>
              <w:t>June 30,</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Commission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80,643 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54,562 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147,694 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103,347 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Contingent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Fee income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Policy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Branch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License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TPA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Other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Frutiger LT 45 Light;sans-serif" w:hAnsi="Frutiger LT 45 Light;sans-serif"/>
                <w:b/>
                <w:color w:val="000000"/>
                <w:sz w:val="16"/>
              </w:rPr>
              <w:t>Total revenues</w:t>
            </w:r>
            <w:r>
              <w:rPr>
                <w:color w:val="000000"/>
              </w:rPr>
              <w:t xml:space="preser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87,511 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60,308 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160,352 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114,131 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The Company operates through two primary offerings, which are Insurance Services and TWFG MGA. The following table presents the disaggregation of revenues by offerings (in thousands):</w:t>
      </w:r>
    </w:p>
    <w:tbl>
      <w:tblPr>
        <w:tblW w:w="7650" w:type="dxa"/>
        <w:jc w:val="left"/>
        <w:tblInd w:w="0" w:type="dxa"/>
        <w:tblLayout w:type="fixed"/>
        <w:tblCellMar>
          <w:top w:w="28" w:type="dxa"/>
          <w:left w:w="28" w:type="dxa"/>
          <w:bottom w:w="28" w:type="dxa"/>
          <w:right w:w="28" w:type="dxa"/>
        </w:tblCellMar>
      </w:tblPr>
      <w:tblGrid>
        <w:gridCol w:w="656"/>
        <w:gridCol w:w="577"/>
        <w:gridCol w:w="581"/>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154"/>
      </w:tblGrid>
      <w:tr>
        <w:trPr/>
        <w:tc>
          <w:tcPr>
            <w:tcW w:w="65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Three Months Ended</w:t>
              <w:br/>
              <w:t>June 30,</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Six Months Ended</w:t>
              <w:br/>
              <w:t>June 30,</w:t>
            </w:r>
          </w:p>
        </w:tc>
        <w:tc>
          <w:tcPr>
            <w:tcW w:w="481" w:type="dxa"/>
            <w:gridSpan w:val="4"/>
            <w:tcBorders/>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Insurance Services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Agency-in-a-Box</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42,316 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39,316 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81,324 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75,312 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Corporate Branches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14,198 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11,393 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24,988 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19,615 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TWFG MGA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30,486 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9,233 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53,020 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18,428 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Frutiger LT 45 Light;sans-serif" w:hAnsi="Frutiger LT 45 Light;sans-serif"/>
                <w:b/>
                <w:color w:val="000000"/>
                <w:sz w:val="16"/>
              </w:rPr>
              <w:t>Total revenues</w:t>
            </w:r>
            <w:r>
              <w:rPr>
                <w:color w:val="000000"/>
              </w:rPr>
              <w:t xml:space="preserv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87,511 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60,308 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160,352 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114,131 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Frutiger LT 45 Light;sans-serif" w:hAnsi="Frutiger LT 45 Light;sans-serif"/>
          <w:b w:val="false"/>
          <w:color w:val="000000"/>
          <w:sz w:val="20"/>
        </w:rPr>
        <w:t xml:space="preserve">As of June 30, 2026 and December 31, 2025, the </w:t>
      </w:r>
      <w:r>
        <w:rPr>
          <w:rFonts w:ascii="Frutiger LT 45 Light;sans-serif" w:hAnsi="Frutiger LT 45 Light;sans-serif"/>
          <w:b w:val="false"/>
          <w:color w:val="000000"/>
          <w:sz w:val="20"/>
          <w:shd w:fill="FFFFFF" w:val="clear"/>
        </w:rPr>
        <w:t xml:space="preserve">commissions receivable, </w:t>
      </w:r>
      <w:r>
        <w:rPr>
          <w:rFonts w:ascii="Frutiger LT 45 Light;sans-serif" w:hAnsi="Frutiger LT 45 Light;sans-serif"/>
          <w:b w:val="false"/>
          <w:color w:val="000000"/>
          <w:sz w:val="20"/>
        </w:rPr>
        <w:t>net reported in the Condensed Consolidated Balance Sheets had a balan</w:t>
      </w:r>
      <w:r>
        <w:rPr>
          <w:rFonts w:ascii="Frutiger LT 45 Light;sans-serif" w:hAnsi="Frutiger LT 45 Light;sans-serif"/>
          <w:b w:val="false"/>
          <w:color w:val="000000"/>
          <w:sz w:val="20"/>
          <w:shd w:fill="FFFFFF" w:val="clear"/>
        </w:rPr>
        <w:t xml:space="preserve">ce of </w:t>
      </w:r>
      <w:r>
        <w:rPr>
          <w:rFonts w:ascii="Frutiger LT 45 Light;sans-serif" w:hAnsi="Frutiger LT 45 Light;sans-serif"/>
          <w:b w:val="false"/>
          <w:color w:val="000000"/>
          <w:sz w:val="20"/>
        </w:rPr>
        <w:t>$46.8 million</w:t>
      </w:r>
      <w:r>
        <w:rPr>
          <w:color w:val="000000"/>
          <w:shd w:fill="FFFFFF" w:val="clear"/>
        </w:rPr>
        <w:t xml:space="preserve"> </w:t>
      </w:r>
      <w:r>
        <w:rPr>
          <w:rFonts w:ascii="Frutiger LT 45 Light;sans-serif" w:hAnsi="Frutiger LT 45 Light;sans-serif"/>
          <w:b w:val="false"/>
          <w:color w:val="000000"/>
          <w:sz w:val="20"/>
          <w:shd w:fill="FFFFFF" w:val="clear"/>
        </w:rPr>
        <w:t xml:space="preserve">and </w:t>
      </w:r>
      <w:r>
        <w:rPr>
          <w:rFonts w:ascii="Frutiger LT 45 Light;sans-serif" w:hAnsi="Frutiger LT 45 Light;sans-serif"/>
          <w:b w:val="false"/>
          <w:color w:val="000000"/>
          <w:sz w:val="20"/>
        </w:rPr>
        <w:t>$37.3 million</w:t>
      </w:r>
      <w:r>
        <w:rPr>
          <w:rFonts w:ascii="Frutiger LT 45 Light;sans-serif" w:hAnsi="Frutiger LT 45 Light;sans-serif"/>
          <w:b w:val="false"/>
          <w:color w:val="000000"/>
          <w:sz w:val="20"/>
          <w:shd w:fill="FFFFFF" w:val="clear"/>
        </w:rPr>
        <w:t>, respectively</w:t>
      </w:r>
      <w:r>
        <w:rPr>
          <w:rFonts w:ascii="Frutiger LT 45 Light;sans-serif" w:hAnsi="Frutiger LT 45 Light;sans-serif"/>
          <w:b w:val="false"/>
          <w:color w:val="000000"/>
          <w:sz w:val="20"/>
        </w:rPr>
        <w:t xml:space="preserve">. The Company had no contract liabilities as of June 30, 2026, December 31, 2025, and January 1, 2025. </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The Company’s allowance for expected credit losses is determined based on a combination of factors: credit quality indicators, including, but not limited to, payment status, historical charge-offs, financial strength of the insurance carriers for commissions receivable, and production performance and age of balances for receivables from agents.</w:t>
      </w:r>
    </w:p>
    <w:p>
      <w:pPr>
        <w:pStyle w:val="TextBody"/>
        <w:bidi w:val="0"/>
        <w:spacing w:lineRule="auto" w:line="288" w:before="0" w:after="160"/>
        <w:jc w:val="left"/>
        <w:rPr>
          <w:rFonts w:ascii="Frutiger LT 45 Light;sans-serif" w:hAnsi="Frutiger LT 45 Light;sans-serif"/>
          <w:b w:val="false"/>
          <w:color w:val="000000"/>
          <w:sz w:val="20"/>
          <w:shd w:fill="FFFFFF" w:val="clear"/>
        </w:rPr>
      </w:pPr>
      <w:r>
        <w:rPr>
          <w:rFonts w:ascii="Frutiger LT 45 Light;sans-serif" w:hAnsi="Frutiger LT 45 Light;sans-serif"/>
          <w:b w:val="false"/>
          <w:color w:val="000000"/>
          <w:sz w:val="20"/>
          <w:shd w:fill="FFFFFF" w:val="clear"/>
        </w:rPr>
        <w:t xml:space="preserve">The following table provides a summary of changes in the Company’s allowance for expected credit losses </w:t>
        <w:br/>
        <w:t>(in thousands):</w:t>
      </w:r>
    </w:p>
    <w:tbl>
      <w:tblPr>
        <w:tblW w:w="6841" w:type="dxa"/>
        <w:jc w:val="left"/>
        <w:tblInd w:w="0" w:type="dxa"/>
        <w:tblLayout w:type="fixed"/>
        <w:tblCellMar>
          <w:top w:w="28" w:type="dxa"/>
          <w:left w:w="28" w:type="dxa"/>
          <w:bottom w:w="28" w:type="dxa"/>
          <w:right w:w="28" w:type="dxa"/>
        </w:tblCellMar>
      </w:tblPr>
      <w:tblGrid>
        <w:gridCol w:w="700"/>
        <w:gridCol w:w="617"/>
        <w:gridCol w:w="618"/>
        <w:gridCol w:w="211"/>
        <w:gridCol w:w="616"/>
        <w:gridCol w:w="109"/>
        <w:gridCol w:w="109"/>
        <w:gridCol w:w="109"/>
        <w:gridCol w:w="109"/>
        <w:gridCol w:w="211"/>
        <w:gridCol w:w="466"/>
        <w:gridCol w:w="109"/>
        <w:gridCol w:w="109"/>
        <w:gridCol w:w="109"/>
        <w:gridCol w:w="109"/>
        <w:gridCol w:w="211"/>
        <w:gridCol w:w="616"/>
        <w:gridCol w:w="109"/>
        <w:gridCol w:w="109"/>
        <w:gridCol w:w="109"/>
        <w:gridCol w:w="109"/>
        <w:gridCol w:w="211"/>
        <w:gridCol w:w="466"/>
        <w:gridCol w:w="109"/>
        <w:gridCol w:w="109"/>
        <w:gridCol w:w="109"/>
        <w:gridCol w:w="109"/>
        <w:gridCol w:w="154"/>
      </w:tblGrid>
      <w:tr>
        <w:trPr/>
        <w:tc>
          <w:tcPr>
            <w:tcW w:w="700"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Three Months Ended</w:t>
              <w:br/>
              <w:t>June 30,</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Beginning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1,215 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888 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Increase in provision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Decrease in provision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Through TWFG MGA FL, LLC (“TWFG MGA FL”), Patriot Select Property &amp; Casualty Insurance Company accounted for 19% and 18% of total revenues for the three and six months ended June 30, 2026, respectively. For the three and six months ended June 30, 2025, Progressive Corporation accounted for 11% and 13% of total revenues, respectively. No other customers individually accounted for 10% or more of the Company’s total revenues for the three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7955"/>
                <wp:effectExtent l="0" t="0" r="0" b="0"/>
                <wp:wrapNone/>
                <wp:docPr id="14" name="Frame1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9</w:t>
                      </w:r>
                    </w:p>
                  </w:txbxContent>
                </v:textbox>
                <w10:wrap type="none"/>
              </v:rect>
            </w:pict>
          </mc:Fallback>
        </mc:AlternateContent>
      </w:r>
    </w:p>
    <w:p>
      <w:pPr>
        <w:pStyle w:val="TextBody"/>
        <w:bidi w:val="0"/>
        <w:spacing w:lineRule="auto" w:line="288" w:before="0" w:after="160"/>
        <w:jc w:val="left"/>
        <w:rPr/>
      </w:pPr>
      <w:hyperlink w:anchor="i54bb4eec0dab4063b7a5a162c0b6d974_7">
        <w:r>
          <w:rPr>
            <w:rStyle w:val="InternetLink"/>
          </w:rPr>
          <w:t xml:space="preserve">Table </w:t>
        </w:r>
      </w:hyperlink>
      <w:hyperlink w:anchor="i54bb4eec0dab4063b7a5a162c0b6d974_7">
        <w:r>
          <w:rPr>
            <w:rStyle w:val="InternetLink"/>
          </w:rPr>
          <w:t>of</w:t>
        </w:r>
      </w:hyperlink>
      <w:hyperlink w:anchor="i54bb4eec0dab4063b7a5a162c0b6d974_7">
        <w:r>
          <w:rPr>
            <w:rStyle w:val="InternetLink"/>
          </w:rPr>
          <w:t xml:space="preserve"> Contents</w:t>
        </w:r>
      </w:hyperlink>
    </w:p>
    <w:p>
      <w:pPr>
        <w:pStyle w:val="TextBody"/>
        <w:bidi w:val="0"/>
        <w:spacing w:lineRule="auto" w:line="288" w:before="0" w:after="160"/>
        <w:jc w:val="left"/>
        <w:rPr/>
      </w:pPr>
      <w:r>
        <w:rPr>
          <w:rFonts w:ascii="Frutiger LT 45 Light;sans-serif" w:hAnsi="Frutiger LT 45 Light;sans-serif"/>
          <w:b/>
          <w:color w:val="000000"/>
          <w:sz w:val="24"/>
        </w:rPr>
        <w:t>4.</w:t>
      </w:r>
      <w:r>
        <w:rPr>
          <w:rFonts w:ascii="Frutiger LT 45 Light;sans-serif" w:hAnsi="Frutiger LT 45 Light;sans-serif"/>
          <w:b/>
          <w:color w:val="000000"/>
          <w:sz w:val="24"/>
        </w:rPr>
        <w:t>INTANGIBLES, ACQUISITIONS, AND DISPOSALS</w:t>
      </w:r>
    </w:p>
    <w:p>
      <w:pPr>
        <w:pStyle w:val="TextBody"/>
        <w:bidi w:val="0"/>
        <w:spacing w:lineRule="auto" w:line="288" w:before="0" w:after="160"/>
        <w:jc w:val="left"/>
        <w:rPr>
          <w:rFonts w:ascii="Frutiger LT 45 Light;sans-serif" w:hAnsi="Frutiger LT 45 Light;sans-serif"/>
          <w:b/>
          <w:i/>
          <w:color w:val="000000"/>
          <w:sz w:val="20"/>
        </w:rPr>
      </w:pPr>
      <w:r>
        <w:rPr>
          <w:rFonts w:ascii="Frutiger LT 45 Light;sans-serif" w:hAnsi="Frutiger LT 45 Light;sans-serif"/>
          <w:b/>
          <w:i/>
          <w:color w:val="000000"/>
          <w:sz w:val="20"/>
        </w:rPr>
        <w:t>Customer Lists and Software Acquisitions</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 xml:space="preserve">During the second quarter of 2026, the Company acquired Fortress Insurance Services and Fortress Wealth Management (“Fortress”) for a total cash consideration of $23.5 million at closing. The acquisition agreement also provides potential to earn contingent payments of up to $5.0 million. The contingent payments are based on the achievement of defined performance metrics over the 24-month and 36-month anniversary periods following the close date. As of June 30, 2026, the contingent payments were not recognized as the conditions for recognition had not been met. The transaction was accounted for as an asset acquisition under the cost accumulation model, with the acquired customer list intangible asset identified as the single substantive asset acquired. The Company recognized a customer list intangible asset with an acquisition-date fair value of $23.5 million which is being amortized on a straight-line basis over eight years. </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In addition to the acquisition described above, during the six months ended June 30, 2026, the Company acquired customer lists totaling $7.7 million. Of this amount, $7.2 million was paid in cash at closings, and the remaining $0.5 million was recorded as future contingent cash payments for the acquired customer lists and included in Deferred Acquisition Payables on the Condensed Consolidated Balance Sheets. Furthermore, the Company reduced a potential earnout of $0.7 million from Deferred Acquisition Payables on the Condensed Consolidated Balance Sheets.</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During the six months ended June 30, 2026, $0.5 million was paid in cash for software acquisitions.</w:t>
      </w:r>
    </w:p>
    <w:p>
      <w:pPr>
        <w:pStyle w:val="TextBody"/>
        <w:bidi w:val="0"/>
        <w:spacing w:lineRule="auto" w:line="288" w:before="0" w:after="160"/>
        <w:jc w:val="left"/>
        <w:rPr>
          <w:rFonts w:ascii="Frutiger LT 45 Light;sans-serif" w:hAnsi="Frutiger LT 45 Light;sans-serif"/>
          <w:b/>
          <w:i/>
          <w:color w:val="000000"/>
          <w:sz w:val="20"/>
        </w:rPr>
      </w:pPr>
      <w:r>
        <w:rPr>
          <w:rFonts w:ascii="Frutiger LT 45 Light;sans-serif" w:hAnsi="Frutiger LT 45 Light;sans-serif"/>
          <w:b/>
          <w:i/>
          <w:color w:val="000000"/>
          <w:sz w:val="20"/>
        </w:rPr>
        <w:t>Acquisition of Asset Protection Insurance Associates</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During the first quarter of 2026, the Company acquired Asset Protection Insurance Associates (“APIA”), a Texas-based MGA specializing in providing comprehensive insurance solutions for property owners and real estate investors throughout the United States, for a total cash consideration of $22.5 million at closing. The acquisition agreement also provides potential to earn contingent payments of up to $7.0 million. The contingent payments are based on the achievement of defined performance metrics over each of the three subsequent anniversary periods after the close date. As of June 30, 2026, the contingent payments were not recognized as the conditions for recognition had not been met. The transaction was accounted for as an asset acquisition under the cost accumulation model, with the acquired customer list intangible asset identified as the single substantive asset acquired. The Company recognized a customer list intangible asset with an acquisition-date fair value of $22.0 million which is being amortized on a straight-line basis over ten years. The remaining $0.5 million was allocated to other assets assumed through the acquisition.</w:t>
      </w:r>
    </w:p>
    <w:p>
      <w:pPr>
        <w:pStyle w:val="TextBody"/>
        <w:bidi w:val="0"/>
        <w:spacing w:lineRule="auto" w:line="288" w:before="0" w:after="160"/>
        <w:jc w:val="left"/>
        <w:rPr>
          <w:rFonts w:ascii="Frutiger LT 45 Light;sans-serif" w:hAnsi="Frutiger LT 45 Light;sans-serif"/>
          <w:b/>
          <w:i/>
          <w:color w:val="000000"/>
          <w:sz w:val="20"/>
        </w:rPr>
      </w:pPr>
      <w:r>
        <w:rPr>
          <w:rFonts w:ascii="Frutiger LT 45 Light;sans-serif" w:hAnsi="Frutiger LT 45 Light;sans-serif"/>
          <w:b/>
          <w:i/>
          <w:color w:val="000000"/>
          <w:sz w:val="20"/>
        </w:rPr>
        <w:t>Acquisition of TWFG MGA FL, LLC</w:t>
      </w:r>
    </w:p>
    <w:p>
      <w:pPr>
        <w:pStyle w:val="TextBody"/>
        <w:bidi w:val="0"/>
        <w:spacing w:lineRule="auto" w:line="288" w:before="0" w:after="160"/>
        <w:jc w:val="left"/>
        <w:rPr/>
      </w:pPr>
      <w:r>
        <w:rPr>
          <w:rFonts w:ascii="Frutiger LT 45 Light;sans-serif" w:hAnsi="Frutiger LT 45 Light;sans-serif"/>
          <w:b w:val="false"/>
          <w:color w:val="000000"/>
          <w:sz w:val="20"/>
        </w:rPr>
        <w:t xml:space="preserve">During the second quarter of 2025, the Company acquired a 50.1% equity interest in TWFG MGA FL for a total cash consideration of $9.7 million at closing. The acquisition agreement also provides for a contingent payment of up to $5.0 million, payable upon achievement of defined performance metrics within one year of closing, and includes a put option for the remaining 49.9% interest held by AIH Sub, Inc. The transaction was accounted for as an asset acquisition under the cost accumulation model, with </w:t>
      </w:r>
      <w:r>
        <w:rPr>
          <w:rFonts w:ascii="Frutiger LT 45 Light;sans-serif" w:hAnsi="Frutiger LT 45 Light;sans-serif"/>
          <w:b w:val="false"/>
          <w:color w:val="000000"/>
          <w:sz w:val="20"/>
          <w:shd w:fill="FFFFFF" w:val="clear"/>
        </w:rPr>
        <w:t xml:space="preserve">the acquired customer relationship intangible asset identified as the single substantive asset acquired. The Company recognized a customer relationship intangible asset with an acquisition-date fair value of </w:t>
      </w:r>
      <w:r>
        <w:rPr>
          <w:rFonts w:ascii="Frutiger LT 45 Light;sans-serif" w:hAnsi="Frutiger LT 45 Light;sans-serif"/>
          <w:b w:val="false"/>
          <w:color w:val="000000"/>
          <w:sz w:val="20"/>
        </w:rPr>
        <w:t>$29.4 million</w:t>
      </w:r>
      <w:r>
        <w:rPr>
          <w:rFonts w:ascii="Frutiger LT 45 Light;sans-serif" w:hAnsi="Frutiger LT 45 Light;sans-serif"/>
          <w:b w:val="false"/>
          <w:color w:val="000000"/>
          <w:sz w:val="20"/>
          <w:shd w:fill="FFFFFF" w:val="clear"/>
        </w:rPr>
        <w:t xml:space="preserve">, and a redeemable noncontrolling interest of </w:t>
      </w:r>
      <w:r>
        <w:rPr>
          <w:rFonts w:ascii="Frutiger LT 45 Light;sans-serif" w:hAnsi="Frutiger LT 45 Light;sans-serif"/>
          <w:b w:val="false"/>
          <w:color w:val="000000"/>
          <w:sz w:val="20"/>
        </w:rPr>
        <w:t>$14.7 million</w:t>
      </w:r>
      <w:r>
        <w:rPr>
          <w:rFonts w:ascii="Frutiger LT 45 Light;sans-serif" w:hAnsi="Frutiger LT 45 Light;sans-serif"/>
          <w:b w:val="false"/>
          <w:color w:val="000000"/>
          <w:sz w:val="20"/>
          <w:shd w:fill="FFFFFF" w:val="clear"/>
        </w:rPr>
        <w:t>, representing the fair value of the ownership interest held by AIH Sub, Inc. The customer relationship intangible asset is being amortized on a straight-line basis over six years.</w:t>
      </w:r>
    </w:p>
    <w:p>
      <w:pPr>
        <w:pStyle w:val="TextBody"/>
        <w:bidi w:val="0"/>
        <w:spacing w:lineRule="auto" w:line="288" w:before="0" w:after="160"/>
        <w:jc w:val="left"/>
        <w:rPr/>
      </w:pPr>
      <w:r>
        <w:rPr>
          <w:rFonts w:ascii="Frutiger LT 45 Light;sans-serif" w:hAnsi="Frutiger LT 45 Light;sans-serif"/>
          <w:b w:val="false"/>
          <w:color w:val="000000"/>
          <w:sz w:val="20"/>
          <w:shd w:fill="FFFFFF" w:val="clear"/>
        </w:rPr>
        <w:t xml:space="preserve">As part of the acquisition of TWFG MGA FL, the Company also acquired a </w:t>
      </w:r>
      <w:r>
        <w:rPr>
          <w:rFonts w:ascii="Frutiger LT 45 Light;sans-serif" w:hAnsi="Frutiger LT 45 Light;sans-serif"/>
          <w:b w:val="false"/>
          <w:color w:val="000000"/>
          <w:sz w:val="20"/>
        </w:rPr>
        <w:t xml:space="preserve">5.7% equity interest in AIH Sub, Inc., an unconsolidated related party, for $0.3 million in cash. </w:t>
      </w:r>
      <w:r>
        <w:rPr>
          <w:rFonts w:ascii="Frutiger LT 45 Light;sans-serif" w:hAnsi="Frutiger LT 45 Light;sans-serif"/>
          <w:b w:val="false"/>
          <w:i/>
          <w:color w:val="000000"/>
          <w:sz w:val="20"/>
        </w:rPr>
        <w:t>See Note 8 Stockholders’ Equity for more information regarding the redeemable noncontrolling interest.</w:t>
      </w:r>
    </w:p>
    <w:p>
      <w:pPr>
        <w:pStyle w:val="TextBody"/>
        <w:bidi w:val="0"/>
        <w:spacing w:lineRule="auto" w:line="288" w:before="0" w:after="160"/>
        <w:jc w:val="left"/>
        <w:rPr>
          <w:rFonts w:ascii="Frutiger LT 45 Light;sans-serif" w:hAnsi="Frutiger LT 45 Light;sans-serif"/>
          <w:b/>
          <w:i/>
          <w:color w:val="000000"/>
          <w:sz w:val="20"/>
        </w:rPr>
      </w:pPr>
      <w:r>
        <w:rPr>
          <w:rFonts w:ascii="Frutiger LT 45 Light;sans-serif" w:hAnsi="Frutiger LT 45 Light;sans-serif"/>
          <w:b/>
          <w:i/>
          <w:color w:val="000000"/>
          <w:sz w:val="20"/>
        </w:rPr>
        <w:t>Net Gains on Disposals</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The Company recognized a net gain on disposals of $0.7 million for the six months ended June 30, 2026. The gains on disposals were attributable to the sale of books of business to third parties. Occasionally, the Company will sell books of business that it believes to be in its best interest to dispose.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7955"/>
                <wp:effectExtent l="0" t="0" r="0" b="0"/>
                <wp:wrapNone/>
                <wp:docPr id="15" name="Frame1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10</w:t>
                      </w:r>
                    </w:p>
                  </w:txbxContent>
                </v:textbox>
                <w10:wrap type="none"/>
              </v:rect>
            </w:pict>
          </mc:Fallback>
        </mc:AlternateContent>
      </w:r>
    </w:p>
    <w:p>
      <w:pPr>
        <w:pStyle w:val="TextBody"/>
        <w:bidi w:val="0"/>
        <w:spacing w:lineRule="auto" w:line="288" w:before="0" w:after="160"/>
        <w:jc w:val="left"/>
        <w:rPr/>
      </w:pPr>
      <w:hyperlink w:anchor="i54bb4eec0dab4063b7a5a162c0b6d974_7">
        <w:r>
          <w:rPr>
            <w:rStyle w:val="InternetLink"/>
          </w:rPr>
          <w:t xml:space="preserve">Table </w:t>
        </w:r>
      </w:hyperlink>
      <w:hyperlink w:anchor="i54bb4eec0dab4063b7a5a162c0b6d974_7">
        <w:r>
          <w:rPr>
            <w:rStyle w:val="InternetLink"/>
          </w:rPr>
          <w:t>of</w:t>
        </w:r>
      </w:hyperlink>
      <w:hyperlink w:anchor="i54bb4eec0dab4063b7a5a162c0b6d974_7">
        <w:r>
          <w:rPr>
            <w:rStyle w:val="InternetLink"/>
          </w:rPr>
          <w:t xml:space="preserve"> Contents</w:t>
        </w:r>
      </w:hyperlink>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The following table presents information about the Company’s intangible assets (in thousands):</w:t>
      </w:r>
    </w:p>
    <w:tbl>
      <w:tblPr>
        <w:tblW w:w="10205" w:type="dxa"/>
        <w:jc w:val="left"/>
        <w:tblInd w:w="0" w:type="dxa"/>
        <w:tblLayout w:type="fixed"/>
        <w:tblCellMar>
          <w:top w:w="28" w:type="dxa"/>
          <w:left w:w="28" w:type="dxa"/>
          <w:bottom w:w="28" w:type="dxa"/>
          <w:right w:w="28" w:type="dxa"/>
        </w:tblCellMar>
      </w:tblPr>
      <w:tblGrid>
        <w:gridCol w:w="852"/>
        <w:gridCol w:w="519"/>
        <w:gridCol w:w="525"/>
        <w:gridCol w:w="230"/>
        <w:gridCol w:w="903"/>
        <w:gridCol w:w="118"/>
        <w:gridCol w:w="109"/>
        <w:gridCol w:w="109"/>
        <w:gridCol w:w="109"/>
        <w:gridCol w:w="285"/>
        <w:gridCol w:w="838"/>
        <w:gridCol w:w="149"/>
        <w:gridCol w:w="109"/>
        <w:gridCol w:w="109"/>
        <w:gridCol w:w="109"/>
        <w:gridCol w:w="460"/>
        <w:gridCol w:w="1018"/>
        <w:gridCol w:w="240"/>
        <w:gridCol w:w="109"/>
        <w:gridCol w:w="109"/>
        <w:gridCol w:w="109"/>
        <w:gridCol w:w="315"/>
        <w:gridCol w:w="1081"/>
        <w:gridCol w:w="164"/>
        <w:gridCol w:w="109"/>
        <w:gridCol w:w="109"/>
        <w:gridCol w:w="109"/>
        <w:gridCol w:w="211"/>
        <w:gridCol w:w="826"/>
        <w:gridCol w:w="163"/>
      </w:tblGrid>
      <w:tr>
        <w:trPr/>
        <w:tc>
          <w:tcPr>
            <w:tcW w:w="85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9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27"/>
            <w:tcBorders>
              <w:top w:val="single" w:sz="16" w:space="0" w:color="000000"/>
            </w:tcBorders>
            <w:tcMar>
              <w:top w:w="30" w:type="dxa"/>
              <w:left w:w="0" w:type="dxa"/>
              <w:bottom w:w="0" w:type="dxa"/>
              <w:right w:w="0" w:type="dxa"/>
            </w:tcMar>
            <w:vAlign w:val="center"/>
          </w:tcPr>
          <w:p>
            <w:pPr>
              <w:pStyle w:val="TableContents"/>
              <w:bidi w:val="0"/>
              <w:spacing w:lineRule="auto" w:line="288" w:before="0" w:after="160"/>
              <w:jc w:val="center"/>
              <w:rPr>
                <w:rFonts w:ascii="Frutiger LT 45 Light;sans-serif" w:hAnsi="Frutiger LT 45 Light;sans-serif"/>
                <w:b/>
                <w:color w:val="000000"/>
                <w:sz w:val="16"/>
              </w:rPr>
            </w:pPr>
            <w:r>
              <w:rPr>
                <w:rFonts w:ascii="Frutiger LT 45 Light;sans-serif" w:hAnsi="Frutiger LT 45 Light;sans-serif"/>
                <w:b/>
                <w:color w:val="000000"/>
                <w:sz w:val="16"/>
              </w:rPr>
              <w:t>June 30, 2026</w:t>
            </w:r>
          </w:p>
        </w:tc>
      </w:tr>
      <w:tr>
        <w:trPr/>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60"/>
              <w:jc w:val="center"/>
              <w:rPr>
                <w:rFonts w:ascii="Frutiger LT 45 Light;sans-serif" w:hAnsi="Frutiger LT 45 Light;sans-serif"/>
                <w:b/>
                <w:color w:val="000000"/>
                <w:sz w:val="16"/>
              </w:rPr>
            </w:pPr>
            <w:r>
              <w:rPr>
                <w:rFonts w:ascii="Frutiger LT 45 Light;sans-serif" w:hAnsi="Frutiger LT 45 Light;sans-serif"/>
                <w:b/>
                <w:color w:val="000000"/>
                <w:sz w:val="16"/>
              </w:rPr>
              <w:t>Customer Lists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60"/>
              <w:jc w:val="center"/>
              <w:rPr>
                <w:rFonts w:ascii="Frutiger LT 45 Light;sans-serif" w:hAnsi="Frutiger LT 45 Light;sans-serif"/>
                <w:b/>
                <w:color w:val="000000"/>
                <w:sz w:val="16"/>
              </w:rPr>
            </w:pPr>
            <w:r>
              <w:rPr>
                <w:rFonts w:ascii="Frutiger LT 45 Light;sans-serif" w:hAnsi="Frutiger LT 45 Light;sans-serif"/>
                <w:b/>
                <w:color w:val="000000"/>
                <w:sz w:val="16"/>
              </w:rPr>
              <w:t>Computer 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60"/>
              <w:jc w:val="center"/>
              <w:rPr>
                <w:rFonts w:ascii="Frutiger LT 45 Light;sans-serif" w:hAnsi="Frutiger LT 45 Light;sans-serif"/>
                <w:b/>
                <w:color w:val="000000"/>
                <w:sz w:val="16"/>
              </w:rPr>
            </w:pPr>
            <w:r>
              <w:rPr>
                <w:rFonts w:ascii="Frutiger LT 45 Light;sans-serif" w:hAnsi="Frutiger LT 45 Light;sans-serif"/>
                <w:b/>
                <w:color w:val="000000"/>
                <w:sz w:val="16"/>
              </w:rPr>
              <w:t>Non-Compete Agreements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60"/>
              <w:jc w:val="center"/>
              <w:rPr>
                <w:rFonts w:ascii="Frutiger LT 45 Light;sans-serif" w:hAnsi="Frutiger LT 45 Light;sans-serif"/>
                <w:b/>
                <w:color w:val="000000"/>
                <w:sz w:val="16"/>
              </w:rPr>
            </w:pPr>
            <w:r>
              <w:rPr>
                <w:rFonts w:ascii="Frutiger LT 45 Light;sans-serif" w:hAnsi="Frutiger LT 45 Light;sans-serif"/>
                <w:b/>
                <w:color w:val="000000"/>
                <w:sz w:val="16"/>
              </w:rPr>
              <w:t>Customer Relationship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60"/>
              <w:jc w:val="center"/>
              <w:rPr>
                <w:rFonts w:ascii="Frutiger LT 45 Light;sans-serif" w:hAnsi="Frutiger LT 45 Light;sans-serif"/>
                <w:b/>
                <w:color w:val="000000"/>
                <w:sz w:val="16"/>
              </w:rPr>
            </w:pPr>
            <w:r>
              <w:rPr>
                <w:rFonts w:ascii="Frutiger LT 45 Light;sans-serif" w:hAnsi="Frutiger LT 45 Light;sans-serif"/>
                <w:b/>
                <w:color w:val="000000"/>
                <w:sz w:val="16"/>
              </w:rPr>
              <w:t>Total</w:t>
            </w:r>
          </w:p>
        </w:tc>
      </w:tr>
      <w:tr>
        <w:trPr/>
        <w:tc>
          <w:tcPr>
            <w:tcW w:w="1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6"/>
              </w:rPr>
            </w:pPr>
            <w:r>
              <w:rPr>
                <w:rFonts w:ascii="Frutiger LT 45 Light;sans-serif" w:hAnsi="Frutiger LT 45 Light;sans-serif"/>
                <w:b/>
                <w:color w:val="000000"/>
                <w:sz w:val="16"/>
              </w:rPr>
              <w:t>Cost</w:t>
            </w:r>
          </w:p>
        </w:tc>
        <w:tc>
          <w:tcPr>
            <w:tcW w:w="12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Balance, beginning of period</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149,579 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9,216 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275 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29,395 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188,465 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Frutiger LT 45 Light;sans-serif" w:hAnsi="Frutiger LT 45 Light;sans-serif"/>
                <w:b w:val="false"/>
                <w:color w:val="000000"/>
                <w:sz w:val="16"/>
              </w:rPr>
              <w:t>Additions</w:t>
            </w:r>
            <w:r>
              <w:rPr>
                <w:rFonts w:ascii="Frutiger LT 45 Light;sans-serif" w:hAnsi="Frutiger LT 45 Light;sans-serif"/>
                <w:b w:val="false"/>
                <w:color w:val="000000"/>
                <w:sz w:val="10"/>
              </w:rPr>
              <w:t>(1)</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52,588 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461 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53,049 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1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Balance, end of period</w:t>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202,167 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9,677 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275 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29,395 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241,514 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Accumulated amortization</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50,139 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7,731 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275 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4,625 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62,770 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color w:val="000000"/>
                <w:sz w:val="16"/>
              </w:rPr>
            </w:pPr>
            <w:r>
              <w:rPr>
                <w:rFonts w:ascii="Frutiger LT 45 Light;sans-serif" w:hAnsi="Frutiger LT 45 Light;sans-serif"/>
                <w:b/>
                <w:color w:val="000000"/>
                <w:sz w:val="16"/>
              </w:rPr>
              <w:t xml:space="preserve">Net carrying amount, end of period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9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152,028 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1,946 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10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24,770 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178,744 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8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27"/>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60"/>
              <w:jc w:val="center"/>
              <w:rPr>
                <w:rFonts w:ascii="Frutiger LT 45 Light;sans-serif" w:hAnsi="Frutiger LT 45 Light;sans-serif"/>
                <w:b/>
                <w:color w:val="000000"/>
                <w:sz w:val="16"/>
              </w:rPr>
            </w:pPr>
            <w:r>
              <w:rPr>
                <w:rFonts w:ascii="Frutiger LT 45 Light;sans-serif" w:hAnsi="Frutiger LT 45 Light;sans-serif"/>
                <w:b/>
                <w:color w:val="000000"/>
                <w:sz w:val="16"/>
              </w:rPr>
              <w:t>December 31, 2025</w:t>
            </w:r>
          </w:p>
        </w:tc>
      </w:tr>
      <w:tr>
        <w:trPr/>
        <w:tc>
          <w:tcPr>
            <w:tcW w:w="1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Customer Lists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Computer Software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Non-Compete Agreements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60"/>
              <w:jc w:val="center"/>
              <w:rPr>
                <w:rFonts w:ascii="Frutiger LT 45 Light;sans-serif" w:hAnsi="Frutiger LT 45 Light;sans-serif"/>
                <w:b/>
                <w:color w:val="000000"/>
                <w:sz w:val="16"/>
              </w:rPr>
            </w:pPr>
            <w:r>
              <w:rPr>
                <w:rFonts w:ascii="Frutiger LT 45 Light;sans-serif" w:hAnsi="Frutiger LT 45 Light;sans-serif"/>
                <w:b/>
                <w:color w:val="000000"/>
                <w:sz w:val="16"/>
              </w:rPr>
              <w:t>Customer Relationship</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Total</w:t>
            </w:r>
          </w:p>
        </w:tc>
      </w:tr>
      <w:tr>
        <w:trPr/>
        <w:tc>
          <w:tcPr>
            <w:tcW w:w="1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6"/>
              </w:rPr>
            </w:pPr>
            <w:r>
              <w:rPr>
                <w:rFonts w:ascii="Frutiger LT 45 Light;sans-serif" w:hAnsi="Frutiger LT 45 Light;sans-serif"/>
                <w:b/>
                <w:color w:val="000000"/>
                <w:sz w:val="16"/>
              </w:rPr>
              <w:t>Cost</w:t>
            </w:r>
          </w:p>
        </w:tc>
        <w:tc>
          <w:tcPr>
            <w:tcW w:w="12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Balance, beginning of period</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96,553 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8,564 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275 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105,392 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Additions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54,185 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652 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29,395 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84,232 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Frutiger LT 45 Light;sans-serif" w:hAnsi="Frutiger LT 45 Light;sans-serif"/>
                <w:b w:val="false"/>
                <w:color w:val="000000"/>
                <w:sz w:val="16"/>
              </w:rPr>
              <w:t>Disposals</w:t>
            </w:r>
            <w:r>
              <w:rPr>
                <w:rFonts w:ascii="Frutiger LT 45 Light;sans-serif" w:hAnsi="Frutiger LT 45 Light;sans-serif"/>
                <w:b w:val="false"/>
                <w:color w:val="000000"/>
                <w:sz w:val="10"/>
              </w:rPr>
              <w:t>(2)</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(1,159)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(1,159)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Balance, end of period</w:t>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149,579 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9,216 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275 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29,395 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188,465 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Accumulated amortization</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40,060 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7,364 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275 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2,134 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49,833 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6"/>
              </w:rPr>
            </w:pPr>
            <w:r>
              <w:rPr>
                <w:rFonts w:ascii="Frutiger LT 45 Light;sans-serif" w:hAnsi="Frutiger LT 45 Light;sans-serif"/>
                <w:b/>
                <w:color w:val="000000"/>
                <w:sz w:val="16"/>
              </w:rPr>
              <w:t>Net carrying amount, end of period</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109,519 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1,852 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27,261 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138,632 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Frutiger LT 55 Roman;sans-serif" w:hAnsi="Frutiger LT 55 Roman;sans-serif"/>
          <w:b w:val="false"/>
          <w:color w:val="000000"/>
          <w:sz w:val="15"/>
        </w:rPr>
        <w:t>(1)</w:t>
      </w:r>
      <w:r>
        <w:rPr>
          <w:rFonts w:ascii="Frutiger LT 55 Roman;sans-serif" w:hAnsi="Frutiger LT 55 Roman;sans-serif"/>
          <w:b w:val="false"/>
          <w:color w:val="000000"/>
          <w:sz w:val="15"/>
        </w:rPr>
        <w:t xml:space="preserve">Customer list, computer software, and customer relationship intangible assets acquired during the six months ended June 30, 2026 have a weighted average amortization period of 7.7 years, 4.2 years, and 4.8 years, respectively. The weighted-average amortization period for all intangible assets acquired as of June 30, 2026 is 8.3 years. </w:t>
      </w:r>
    </w:p>
    <w:p>
      <w:pPr>
        <w:pStyle w:val="TextBody"/>
        <w:bidi w:val="0"/>
        <w:spacing w:lineRule="auto" w:line="288" w:before="0" w:after="300"/>
        <w:jc w:val="left"/>
        <w:rPr/>
      </w:pPr>
      <w:r>
        <w:rPr>
          <w:rFonts w:ascii="Frutiger LT 55 Roman;sans-serif" w:hAnsi="Frutiger LT 55 Roman;sans-serif"/>
          <w:b w:val="false"/>
          <w:color w:val="000000"/>
          <w:sz w:val="15"/>
        </w:rPr>
        <w:t>(2)</w:t>
      </w:r>
      <w:r>
        <w:rPr>
          <w:rFonts w:ascii="Frutiger LT 55 Roman;sans-serif" w:hAnsi="Frutiger LT 55 Roman;sans-serif"/>
          <w:b w:val="false"/>
          <w:color w:val="000000"/>
          <w:sz w:val="15"/>
        </w:rPr>
        <w:t>For the year ended December 31, 2025, the Company recognized a net gain of $1.1 million on the sale of customer lists.</w:t>
      </w:r>
    </w:p>
    <w:tbl>
      <w:tblPr>
        <w:tblW w:w="10205" w:type="dxa"/>
        <w:jc w:val="left"/>
        <w:tblInd w:w="0" w:type="dxa"/>
        <w:tblLayout w:type="fixed"/>
        <w:tblCellMar>
          <w:top w:w="28" w:type="dxa"/>
          <w:left w:w="28" w:type="dxa"/>
          <w:bottom w:w="28" w:type="dxa"/>
          <w:right w:w="28" w:type="dxa"/>
        </w:tblCellMar>
      </w:tblPr>
      <w:tblGrid>
        <w:gridCol w:w="811"/>
        <w:gridCol w:w="460"/>
        <w:gridCol w:w="464"/>
        <w:gridCol w:w="248"/>
        <w:gridCol w:w="848"/>
        <w:gridCol w:w="128"/>
        <w:gridCol w:w="109"/>
        <w:gridCol w:w="109"/>
        <w:gridCol w:w="109"/>
        <w:gridCol w:w="365"/>
        <w:gridCol w:w="806"/>
        <w:gridCol w:w="189"/>
        <w:gridCol w:w="109"/>
        <w:gridCol w:w="109"/>
        <w:gridCol w:w="109"/>
        <w:gridCol w:w="533"/>
        <w:gridCol w:w="1024"/>
        <w:gridCol w:w="276"/>
        <w:gridCol w:w="109"/>
        <w:gridCol w:w="109"/>
        <w:gridCol w:w="109"/>
        <w:gridCol w:w="372"/>
        <w:gridCol w:w="1088"/>
        <w:gridCol w:w="194"/>
        <w:gridCol w:w="109"/>
        <w:gridCol w:w="109"/>
        <w:gridCol w:w="109"/>
        <w:gridCol w:w="211"/>
        <w:gridCol w:w="721"/>
        <w:gridCol w:w="159"/>
      </w:tblGrid>
      <w:tr>
        <w:trPr/>
        <w:tc>
          <w:tcPr>
            <w:tcW w:w="811"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3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0" w:type="dxa"/>
            <w:gridSpan w:val="27"/>
            <w:tcBorders>
              <w:top w:val="single" w:sz="12" w:space="0" w:color="000000"/>
            </w:tcBorders>
            <w:tcMar>
              <w:top w:w="30" w:type="dxa"/>
              <w:left w:w="0" w:type="dxa"/>
              <w:bottom w:w="0" w:type="dxa"/>
              <w:right w:w="0" w:type="dxa"/>
            </w:tcMar>
            <w:vAlign w:val="center"/>
          </w:tcPr>
          <w:p>
            <w:pPr>
              <w:pStyle w:val="TableContents"/>
              <w:bidi w:val="0"/>
              <w:spacing w:lineRule="auto" w:line="288" w:before="0" w:after="160"/>
              <w:jc w:val="center"/>
              <w:rPr>
                <w:rFonts w:ascii="Frutiger LT 45 Light;sans-serif" w:hAnsi="Frutiger LT 45 Light;sans-serif"/>
                <w:b/>
                <w:color w:val="000000"/>
                <w:sz w:val="16"/>
              </w:rPr>
            </w:pPr>
            <w:r>
              <w:rPr>
                <w:rFonts w:ascii="Frutiger LT 45 Light;sans-serif" w:hAnsi="Frutiger LT 45 Light;sans-serif"/>
                <w:b/>
                <w:color w:val="000000"/>
                <w:sz w:val="16"/>
              </w:rPr>
              <w:t>2026</w:t>
            </w:r>
          </w:p>
        </w:tc>
      </w:tr>
      <w:tr>
        <w:trPr/>
        <w:tc>
          <w:tcPr>
            <w:tcW w:w="1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60"/>
              <w:jc w:val="center"/>
              <w:rPr>
                <w:rFonts w:ascii="Frutiger LT 45 Light;sans-serif" w:hAnsi="Frutiger LT 45 Light;sans-serif"/>
                <w:b/>
                <w:color w:val="000000"/>
                <w:sz w:val="16"/>
              </w:rPr>
            </w:pPr>
            <w:r>
              <w:rPr>
                <w:rFonts w:ascii="Frutiger LT 45 Light;sans-serif" w:hAnsi="Frutiger LT 45 Light;sans-serif"/>
                <w:b/>
                <w:color w:val="000000"/>
                <w:sz w:val="16"/>
              </w:rPr>
              <w:t>Customer Lists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60"/>
              <w:jc w:val="center"/>
              <w:rPr>
                <w:rFonts w:ascii="Frutiger LT 45 Light;sans-serif" w:hAnsi="Frutiger LT 45 Light;sans-serif"/>
                <w:b/>
                <w:color w:val="000000"/>
                <w:sz w:val="16"/>
              </w:rPr>
            </w:pPr>
            <w:r>
              <w:rPr>
                <w:rFonts w:ascii="Frutiger LT 45 Light;sans-serif" w:hAnsi="Frutiger LT 45 Light;sans-serif"/>
                <w:b/>
                <w:color w:val="000000"/>
                <w:sz w:val="16"/>
              </w:rPr>
              <w:t>Computer 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60"/>
              <w:jc w:val="center"/>
              <w:rPr>
                <w:rFonts w:ascii="Frutiger LT 45 Light;sans-serif" w:hAnsi="Frutiger LT 45 Light;sans-serif"/>
                <w:b/>
                <w:color w:val="000000"/>
                <w:sz w:val="16"/>
              </w:rPr>
            </w:pPr>
            <w:r>
              <w:rPr>
                <w:rFonts w:ascii="Frutiger LT 45 Light;sans-serif" w:hAnsi="Frutiger LT 45 Light;sans-serif"/>
                <w:b/>
                <w:color w:val="000000"/>
                <w:sz w:val="16"/>
              </w:rPr>
              <w:t>Non-Compete Agreements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Customer Relationship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60"/>
              <w:jc w:val="center"/>
              <w:rPr>
                <w:rFonts w:ascii="Frutiger LT 45 Light;sans-serif" w:hAnsi="Frutiger LT 45 Light;sans-serif"/>
                <w:b/>
                <w:color w:val="000000"/>
                <w:sz w:val="16"/>
              </w:rPr>
            </w:pPr>
            <w:r>
              <w:rPr>
                <w:rFonts w:ascii="Frutiger LT 45 Light;sans-serif" w:hAnsi="Frutiger LT 45 Light;sans-serif"/>
                <w:b/>
                <w:color w:val="000000"/>
                <w:sz w:val="16"/>
              </w:rPr>
              <w:t>Total</w:t>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Three Months Ended June 30,</w:t>
            </w:r>
          </w:p>
        </w:tc>
        <w:tc>
          <w:tcPr>
            <w:tcW w:w="12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 xml:space="preserve">Amortization expense </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5,476 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188 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1,245 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6,909 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Six Months Ended June 30,</w:t>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Amortization expense</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10,079 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367 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2,491 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12,937 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0"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2025</w:t>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60"/>
              <w:jc w:val="center"/>
              <w:rPr>
                <w:rFonts w:ascii="Frutiger LT 45 Light;sans-serif" w:hAnsi="Frutiger LT 45 Light;sans-serif"/>
                <w:b/>
                <w:color w:val="000000"/>
                <w:sz w:val="16"/>
              </w:rPr>
            </w:pPr>
            <w:r>
              <w:rPr>
                <w:rFonts w:ascii="Frutiger LT 45 Light;sans-serif" w:hAnsi="Frutiger LT 45 Light;sans-serif"/>
                <w:b/>
                <w:color w:val="000000"/>
                <w:sz w:val="16"/>
              </w:rPr>
              <w:t>Customer Lists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60"/>
              <w:jc w:val="center"/>
              <w:rPr>
                <w:rFonts w:ascii="Frutiger LT 45 Light;sans-serif" w:hAnsi="Frutiger LT 45 Light;sans-serif"/>
                <w:b/>
                <w:color w:val="000000"/>
                <w:sz w:val="16"/>
              </w:rPr>
            </w:pPr>
            <w:r>
              <w:rPr>
                <w:rFonts w:ascii="Frutiger LT 45 Light;sans-serif" w:hAnsi="Frutiger LT 45 Light;sans-serif"/>
                <w:b/>
                <w:color w:val="000000"/>
                <w:sz w:val="16"/>
              </w:rPr>
              <w:t>Computer Software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60"/>
              <w:jc w:val="center"/>
              <w:rPr>
                <w:rFonts w:ascii="Frutiger LT 45 Light;sans-serif" w:hAnsi="Frutiger LT 45 Light;sans-serif"/>
                <w:b/>
                <w:color w:val="000000"/>
                <w:sz w:val="16"/>
              </w:rPr>
            </w:pPr>
            <w:r>
              <w:rPr>
                <w:rFonts w:ascii="Frutiger LT 45 Light;sans-serif" w:hAnsi="Frutiger LT 45 Light;sans-serif"/>
                <w:b/>
                <w:color w:val="000000"/>
                <w:sz w:val="16"/>
              </w:rPr>
              <w:t>Non-Compete Agreements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Customer Relationship</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60"/>
              <w:jc w:val="center"/>
              <w:rPr>
                <w:rFonts w:ascii="Frutiger LT 45 Light;sans-serif" w:hAnsi="Frutiger LT 45 Light;sans-serif"/>
                <w:b/>
                <w:color w:val="000000"/>
                <w:sz w:val="16"/>
              </w:rPr>
            </w:pPr>
            <w:r>
              <w:rPr>
                <w:rFonts w:ascii="Frutiger LT 45 Light;sans-serif" w:hAnsi="Frutiger LT 45 Light;sans-serif"/>
                <w:b/>
                <w:color w:val="000000"/>
                <w:sz w:val="16"/>
              </w:rPr>
              <w:t>Total</w:t>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Three Months Ended June 30,</w:t>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 xml:space="preserve">Amortization expense </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3,523 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176 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10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10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3,762 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Six Months Ended June 30,</w:t>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Amortization expense</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6,553 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352 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10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10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6,971 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Frutiger LT 55 Roman;sans-serif" w:hAnsi="Frutiger LT 55 Roman;sans-serif"/>
          <w:b w:val="false"/>
          <w:color w:val="000000"/>
          <w:sz w:val="15"/>
          <w:shd w:fill="FFFFFF" w:val="clear"/>
        </w:rPr>
      </w:pPr>
      <w:r>
        <w:rPr>
          <w:rFonts w:ascii="Frutiger LT 55 Roman;sans-serif" w:hAnsi="Frutiger LT 55 Roman;sans-serif"/>
          <w:b w:val="false"/>
          <w:color w:val="000000"/>
          <w:sz w:val="15"/>
          <w:shd w:fill="FFFFFF" w:val="clear"/>
        </w:rPr>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 xml:space="preserve">The following table presents the future amortization for intangible assets as of June 30, 2026 (in thousands): </w:t>
      </w:r>
    </w:p>
    <w:tbl>
      <w:tblPr>
        <w:tblW w:w="8249" w:type="dxa"/>
        <w:jc w:val="left"/>
        <w:tblInd w:w="0" w:type="dxa"/>
        <w:tblLayout w:type="fixed"/>
        <w:tblCellMar>
          <w:top w:w="28" w:type="dxa"/>
          <w:left w:w="28" w:type="dxa"/>
          <w:bottom w:w="28" w:type="dxa"/>
          <w:right w:w="28" w:type="dxa"/>
        </w:tblCellMar>
      </w:tblPr>
      <w:tblGrid>
        <w:gridCol w:w="625"/>
        <w:gridCol w:w="548"/>
        <w:gridCol w:w="551"/>
        <w:gridCol w:w="276"/>
        <w:gridCol w:w="1081"/>
        <w:gridCol w:w="142"/>
        <w:gridCol w:w="109"/>
        <w:gridCol w:w="109"/>
        <w:gridCol w:w="109"/>
        <w:gridCol w:w="424"/>
        <w:gridCol w:w="1244"/>
        <w:gridCol w:w="221"/>
        <w:gridCol w:w="109"/>
        <w:gridCol w:w="109"/>
        <w:gridCol w:w="109"/>
        <w:gridCol w:w="109"/>
        <w:gridCol w:w="109"/>
        <w:gridCol w:w="439"/>
        <w:gridCol w:w="1504"/>
        <w:gridCol w:w="322"/>
      </w:tblGrid>
      <w:tr>
        <w:trPr/>
        <w:tc>
          <w:tcPr>
            <w:tcW w:w="62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Customer Lists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Computer Software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5"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Customer Relationship</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Remainder of 2026</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11,682 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369 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1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2,491 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2027</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23,315 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655 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4,981 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2028</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23,285 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468 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4,981 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2029</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23,200 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278 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4,981 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2030</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22,813 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158 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4,981 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Thereafter</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47,733 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2,355 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color w:val="000000"/>
                <w:sz w:val="16"/>
              </w:rPr>
            </w:pPr>
            <w:r>
              <w:rPr>
                <w:rFonts w:ascii="Frutiger LT 45 Light;sans-serif" w:hAnsi="Frutiger LT 45 Light;sans-serif"/>
                <w:b/>
                <w:color w:val="000000"/>
                <w:sz w:val="16"/>
              </w:rPr>
              <w:t xml:space="preserve">Total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152,028 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1,946 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1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24,770 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7955"/>
                <wp:effectExtent l="0" t="0" r="0" b="0"/>
                <wp:wrapNone/>
                <wp:docPr id="16" name="Frame1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11</w:t>
                      </w:r>
                    </w:p>
                  </w:txbxContent>
                </v:textbox>
                <w10:wrap type="none"/>
              </v:rect>
            </w:pict>
          </mc:Fallback>
        </mc:AlternateContent>
      </w:r>
    </w:p>
    <w:p>
      <w:pPr>
        <w:pStyle w:val="TextBody"/>
        <w:bidi w:val="0"/>
        <w:spacing w:lineRule="auto" w:line="288" w:before="0" w:after="160"/>
        <w:jc w:val="left"/>
        <w:rPr/>
      </w:pPr>
      <w:hyperlink w:anchor="i54bb4eec0dab4063b7a5a162c0b6d974_7">
        <w:r>
          <w:rPr>
            <w:rStyle w:val="InternetLink"/>
          </w:rPr>
          <w:t xml:space="preserve">Table </w:t>
        </w:r>
      </w:hyperlink>
      <w:hyperlink w:anchor="i54bb4eec0dab4063b7a5a162c0b6d974_7">
        <w:r>
          <w:rPr>
            <w:rStyle w:val="InternetLink"/>
          </w:rPr>
          <w:t>of</w:t>
        </w:r>
      </w:hyperlink>
      <w:hyperlink w:anchor="i54bb4eec0dab4063b7a5a162c0b6d974_7">
        <w:r>
          <w:rPr>
            <w:rStyle w:val="InternetLink"/>
          </w:rPr>
          <w:t xml:space="preserve"> Contents</w:t>
        </w:r>
      </w:hyperlink>
    </w:p>
    <w:p>
      <w:pPr>
        <w:pStyle w:val="TextBody"/>
        <w:bidi w:val="0"/>
        <w:spacing w:lineRule="auto" w:line="288" w:before="0" w:after="160"/>
        <w:jc w:val="left"/>
        <w:rPr>
          <w:rFonts w:ascii="Frutiger LT 45 Light;sans-serif" w:hAnsi="Frutiger LT 45 Light;sans-serif"/>
          <w:b/>
          <w:color w:val="000000"/>
          <w:sz w:val="24"/>
          <w:shd w:fill="FFFFFF" w:val="clear"/>
        </w:rPr>
      </w:pPr>
      <w:r>
        <w:rPr>
          <w:rFonts w:ascii="Frutiger LT 45 Light;sans-serif" w:hAnsi="Frutiger LT 45 Light;sans-serif"/>
          <w:b/>
          <w:color w:val="000000"/>
          <w:sz w:val="24"/>
          <w:shd w:fill="FFFFFF" w:val="clear"/>
        </w:rPr>
        <w:t xml:space="preserve">5.        OTHER CURRENT LIABILITIES </w:t>
      </w:r>
    </w:p>
    <w:p>
      <w:pPr>
        <w:pStyle w:val="TextBody"/>
        <w:bidi w:val="0"/>
        <w:spacing w:lineRule="auto" w:line="288" w:before="0" w:after="160"/>
        <w:jc w:val="left"/>
        <w:rPr/>
      </w:pPr>
      <w:r>
        <w:rPr>
          <w:rFonts w:ascii="Frutiger LT 45 Light;sans-serif" w:hAnsi="Frutiger LT 45 Light;sans-serif"/>
          <w:b w:val="false"/>
          <w:color w:val="000000"/>
          <w:sz w:val="20"/>
          <w:shd w:fill="FFFFFF" w:val="clear"/>
        </w:rPr>
        <w:t>Other current liabilities co</w:t>
      </w:r>
      <w:r>
        <w:rPr>
          <w:rFonts w:ascii="Frutiger LT 45 Light;sans-serif" w:hAnsi="Frutiger LT 45 Light;sans-serif"/>
          <w:b w:val="false"/>
          <w:color w:val="000000"/>
          <w:sz w:val="20"/>
        </w:rPr>
        <w:t>nsisted of the following as of the dates indicated (in thousands). There have been no material changes in the composition of other current liabilities from those disclosed in the Company’s Annual Report on Form 10-K for the year ended December 31, 2025.</w:t>
      </w:r>
    </w:p>
    <w:tbl>
      <w:tblPr>
        <w:tblW w:w="7030" w:type="dxa"/>
        <w:jc w:val="left"/>
        <w:tblInd w:w="0" w:type="dxa"/>
        <w:tblLayout w:type="fixed"/>
        <w:tblCellMar>
          <w:top w:w="28" w:type="dxa"/>
          <w:left w:w="28" w:type="dxa"/>
          <w:bottom w:w="28" w:type="dxa"/>
          <w:right w:w="28" w:type="dxa"/>
        </w:tblCellMar>
      </w:tblPr>
      <w:tblGrid>
        <w:gridCol w:w="1205"/>
        <w:gridCol w:w="1059"/>
        <w:gridCol w:w="1066"/>
        <w:gridCol w:w="285"/>
        <w:gridCol w:w="977"/>
        <w:gridCol w:w="147"/>
        <w:gridCol w:w="109"/>
        <w:gridCol w:w="109"/>
        <w:gridCol w:w="109"/>
        <w:gridCol w:w="381"/>
        <w:gridCol w:w="1305"/>
        <w:gridCol w:w="278"/>
      </w:tblGrid>
      <w:tr>
        <w:trPr/>
        <w:tc>
          <w:tcPr>
            <w:tcW w:w="120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June 30,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December 31, 2025</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 xml:space="preserve">Accrued salaries and bonus expenses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2,166 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1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2,529 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Accrued professional fees</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1,103 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842 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Accounts payable</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4,592 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1,571 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Income tax payable</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647 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1,051 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Other current liabilities</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4,518 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4,315 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9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13,026 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1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10,308 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45 Light;sans-serif" w:hAnsi="Frutiger LT 45 Light;sans-serif"/>
          <w:b/>
          <w:color w:val="000000"/>
          <w:sz w:val="24"/>
          <w:shd w:fill="FFFFFF" w:val="clear"/>
        </w:rPr>
      </w:pPr>
      <w:r>
        <w:rPr>
          <w:rFonts w:ascii="Frutiger LT 45 Light;sans-serif" w:hAnsi="Frutiger LT 45 Light;sans-serif"/>
          <w:b/>
          <w:color w:val="000000"/>
          <w:sz w:val="24"/>
          <w:shd w:fill="FFFFFF" w:val="clear"/>
        </w:rPr>
        <w:t>6.        DEBT AND DEFERRED ACQUISITION PAYABLES</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The following is a summary of the Company’s outstanding Debt and Deferred Acquisition Payables (in thousands):</w:t>
      </w:r>
    </w:p>
    <w:tbl>
      <w:tblPr>
        <w:tblW w:w="10205" w:type="dxa"/>
        <w:jc w:val="left"/>
        <w:tblInd w:w="0" w:type="dxa"/>
        <w:tblLayout w:type="fixed"/>
        <w:tblCellMar>
          <w:top w:w="28" w:type="dxa"/>
          <w:left w:w="28" w:type="dxa"/>
          <w:bottom w:w="28" w:type="dxa"/>
          <w:right w:w="28" w:type="dxa"/>
        </w:tblCellMar>
      </w:tblPr>
      <w:tblGrid>
        <w:gridCol w:w="2815"/>
        <w:gridCol w:w="2156"/>
        <w:gridCol w:w="2185"/>
        <w:gridCol w:w="267"/>
        <w:gridCol w:w="779"/>
        <w:gridCol w:w="137"/>
        <w:gridCol w:w="109"/>
        <w:gridCol w:w="109"/>
        <w:gridCol w:w="109"/>
        <w:gridCol w:w="330"/>
        <w:gridCol w:w="964"/>
        <w:gridCol w:w="245"/>
      </w:tblGrid>
      <w:tr>
        <w:trPr/>
        <w:tc>
          <w:tcPr>
            <w:tcW w:w="2815"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715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June 30, 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December 31, 2025</w:t>
            </w:r>
          </w:p>
        </w:tc>
      </w:tr>
      <w:tr>
        <w:trPr/>
        <w:tc>
          <w:tcPr>
            <w:tcW w:w="7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6"/>
              </w:rPr>
            </w:pPr>
            <w:r>
              <w:rPr>
                <w:rFonts w:ascii="Frutiger LT 45 Light;sans-serif" w:hAnsi="Frutiger LT 45 Light;sans-serif"/>
                <w:b/>
                <w:color w:val="000000"/>
                <w:sz w:val="16"/>
              </w:rPr>
              <w:t>Bank Debt:</w:t>
            </w:r>
          </w:p>
        </w:tc>
        <w:tc>
          <w:tcPr>
            <w:tcW w:w="11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6"/>
              </w:rPr>
            </w:pPr>
            <w:r>
              <w:rPr>
                <w:rFonts w:ascii="Frutiger LT 45 Light;sans-serif" w:hAnsi="Frutiger LT 45 Light;sans-serif"/>
                <w:b/>
                <w:color w:val="000000"/>
                <w:sz w:val="16"/>
              </w:rPr>
              <w:t>Term Loan</w:t>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7-year term loan, periodic interest and monthly principal payments, Daily Simple SOFR + 0.11448% SOFR adjustment, matures December 6, 2027</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3,028 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9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4,007 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6"/>
              </w:rPr>
            </w:pPr>
            <w:r>
              <w:rPr>
                <w:rFonts w:ascii="Frutiger LT 45 Light;sans-serif" w:hAnsi="Frutiger LT 45 Light;sans-serif"/>
                <w:b/>
                <w:color w:val="000000"/>
                <w:sz w:val="16"/>
              </w:rPr>
              <w:t>Total bank debt</w:t>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3,028 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4,007 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Less: current bank debt</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(2,003)</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(1,972)</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6"/>
              </w:rPr>
            </w:pPr>
            <w:r>
              <w:rPr>
                <w:rFonts w:ascii="Frutiger LT 45 Light;sans-serif" w:hAnsi="Frutiger LT 45 Light;sans-serif"/>
                <w:b/>
                <w:color w:val="000000"/>
                <w:sz w:val="16"/>
              </w:rPr>
              <w:t>Total long-term bank debt</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1,025 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9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2,035 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Frutiger LT 45 Light;sans-serif" w:hAnsi="Frutiger LT 45 Light;sans-serif"/>
                <w:b/>
                <w:color w:val="000000"/>
                <w:sz w:val="16"/>
              </w:rPr>
              <w:t>Deferred Acquisition Payables</w:t>
            </w:r>
            <w:r>
              <w:rPr>
                <w:rFonts w:ascii="Frutiger LT 45 Light;sans-serif" w:hAnsi="Frutiger LT 45 Light;sans-serif"/>
                <w:b/>
                <w:color w:val="000000"/>
                <w:sz w:val="10"/>
              </w:rPr>
              <w:t>(1)</w:t>
            </w:r>
            <w:r>
              <w:rPr>
                <w:rFonts w:ascii="Frutiger LT 45 Light;sans-serif" w:hAnsi="Frutiger LT 45 Light;sans-serif"/>
                <w:b/>
                <w:color w:val="000000"/>
                <w:sz w:val="16"/>
              </w:rPr>
              <w:t>:</w:t>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Acquisition notes payables</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824 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9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1,122 </w:t>
            </w:r>
          </w:p>
        </w:tc>
        <w:tc>
          <w:tcPr>
            <w:tcW w:w="24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Contingent considerations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6,268 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7,052 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6"/>
              </w:rPr>
            </w:pPr>
            <w:r>
              <w:rPr>
                <w:rFonts w:ascii="Frutiger LT 45 Light;sans-serif" w:hAnsi="Frutiger LT 45 Light;sans-serif"/>
                <w:b/>
                <w:color w:val="000000"/>
                <w:sz w:val="16"/>
              </w:rPr>
              <w:t>Total Deferred Acquisition Payables</w:t>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7,092 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8,174 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Less: current acquisition notes payables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(481)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(593)</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Less: current contingent considerations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(6,268)</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(912)</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Frutiger LT 45 Light;sans-serif" w:hAnsi="Frutiger LT 45 Light;sans-serif"/>
                <w:b/>
                <w:color w:val="000000"/>
                <w:sz w:val="16"/>
              </w:rPr>
              <w:t>Total long-term Deferred Acquisition Payables</w:t>
            </w:r>
            <w:r>
              <w:rPr>
                <w:rFonts w:ascii="Frutiger LT 45 Light;sans-serif" w:hAnsi="Frutiger LT 45 Light;sans-serif"/>
                <w:b/>
                <w:color w:val="000000"/>
                <w:sz w:val="10"/>
              </w:rPr>
              <w:t>(2)</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343 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9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6,669 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Less: long-term contingent considerations</w:t>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(6,140)</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6"/>
              </w:rPr>
            </w:pPr>
            <w:r>
              <w:rPr>
                <w:rFonts w:ascii="Frutiger LT 45 Light;sans-serif" w:hAnsi="Frutiger LT 45 Light;sans-serif"/>
                <w:b/>
                <w:color w:val="000000"/>
                <w:sz w:val="16"/>
              </w:rPr>
              <w:t>Total long-term Deferred Acquisition Payables-notes</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343 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9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529 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Frutiger LT 55 Roman;sans-serif" w:hAnsi="Frutiger LT 55 Roman;sans-serif"/>
          <w:b w:val="false"/>
          <w:color w:val="000000"/>
          <w:sz w:val="15"/>
          <w:shd w:fill="FFFFFF" w:val="clear"/>
        </w:rPr>
        <w:t>(1)</w:t>
      </w:r>
      <w:r>
        <w:rPr>
          <w:rFonts w:ascii="Frutiger LT 55 Roman;sans-serif" w:hAnsi="Frutiger LT 55 Roman;sans-serif"/>
          <w:b w:val="false"/>
          <w:color w:val="000000"/>
          <w:sz w:val="15"/>
        </w:rPr>
        <w:t>See Note 4 Intangibles, Acquisitions, and Disposals and Note 7 Fair Value Measurements.</w:t>
      </w:r>
    </w:p>
    <w:p>
      <w:pPr>
        <w:pStyle w:val="TextBody"/>
        <w:bidi w:val="0"/>
        <w:spacing w:lineRule="auto" w:line="288" w:before="0" w:after="160"/>
        <w:jc w:val="left"/>
        <w:rPr/>
      </w:pPr>
      <w:r>
        <w:rPr>
          <w:rFonts w:ascii="Frutiger LT 55 Roman;sans-serif" w:hAnsi="Frutiger LT 55 Roman;sans-serif"/>
          <w:b w:val="false"/>
          <w:color w:val="000000"/>
          <w:sz w:val="15"/>
        </w:rPr>
        <w:t>(2)</w:t>
      </w:r>
      <w:r>
        <w:rPr>
          <w:rFonts w:ascii="Frutiger LT 55 Roman;sans-serif" w:hAnsi="Frutiger LT 55 Roman;sans-serif"/>
          <w:b w:val="false"/>
          <w:color w:val="000000"/>
          <w:sz w:val="15"/>
          <w:shd w:fill="FFFFFF" w:val="clear"/>
        </w:rPr>
        <w:t>As of June 30, 2026, all contingent considerations obligations are classified as current, and long-term Deferred Acquisition Payables consist solely of long-term acquisition notes payables.</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 xml:space="preserve">Future maturities of the Company’s total outstanding bank debt and Deferred Acquisition Payables-notes as of June 30, 2026 were as follows (in thousands): </w:t>
      </w:r>
    </w:p>
    <w:tbl>
      <w:tblPr>
        <w:tblW w:w="2705" w:type="dxa"/>
        <w:jc w:val="left"/>
        <w:tblInd w:w="0" w:type="dxa"/>
        <w:tblLayout w:type="fixed"/>
        <w:tblCellMar>
          <w:top w:w="28" w:type="dxa"/>
          <w:left w:w="28" w:type="dxa"/>
          <w:bottom w:w="28" w:type="dxa"/>
          <w:right w:w="28" w:type="dxa"/>
        </w:tblCellMar>
      </w:tblPr>
      <w:tblGrid>
        <w:gridCol w:w="625"/>
        <w:gridCol w:w="548"/>
        <w:gridCol w:w="551"/>
        <w:gridCol w:w="211"/>
        <w:gridCol w:w="616"/>
        <w:gridCol w:w="154"/>
      </w:tblGrid>
      <w:tr>
        <w:trPr/>
        <w:tc>
          <w:tcPr>
            <w:tcW w:w="62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Remainder of 2026</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1,456 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2030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color w:val="000000"/>
                <w:sz w:val="16"/>
              </w:rPr>
            </w:pPr>
            <w:r>
              <w:rPr>
                <w:rFonts w:ascii="Frutiger LT 45 Light;sans-serif" w:hAnsi="Frutiger LT 45 Light;sans-serif"/>
                <w:b/>
                <w:color w:val="000000"/>
                <w:sz w:val="16"/>
              </w:rPr>
              <w:t xml:space="preserve">Total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3,852 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Frutiger LT 45 Light;sans-serif" w:hAnsi="Frutiger LT 45 Light;sans-serif"/>
          <w:b w:val="false"/>
          <w:color w:val="000000"/>
          <w:sz w:val="20"/>
        </w:rPr>
        <w:t>F</w:t>
      </w:r>
      <w:r>
        <w:rPr>
          <w:rFonts w:ascii="Frutiger LT 45 Light;sans-serif" w:hAnsi="Frutiger LT 45 Light;sans-serif"/>
          <w:b w:val="false"/>
          <w:color w:val="000000"/>
          <w:sz w:val="20"/>
          <w:shd w:fill="FFFFFF" w:val="clear"/>
        </w:rPr>
        <w:t xml:space="preserve">or the </w:t>
      </w:r>
      <w:r>
        <w:rPr>
          <w:rFonts w:ascii="Frutiger LT 45 Light;sans-serif" w:hAnsi="Frutiger LT 45 Light;sans-serif"/>
          <w:b w:val="false"/>
          <w:color w:val="000000"/>
          <w:sz w:val="20"/>
        </w:rPr>
        <w:t>three and six</w:t>
      </w:r>
      <w:r>
        <w:rPr>
          <w:color w:val="000000"/>
          <w:shd w:fill="FFFFFF" w:val="clear"/>
        </w:rPr>
        <w:t xml:space="preserve"> </w:t>
      </w:r>
      <w:r>
        <w:rPr>
          <w:rFonts w:ascii="Frutiger LT 45 Light;sans-serif" w:hAnsi="Frutiger LT 45 Light;sans-serif"/>
          <w:b w:val="false"/>
          <w:color w:val="000000"/>
          <w:sz w:val="20"/>
          <w:shd w:fill="FFFFFF" w:val="clear"/>
        </w:rPr>
        <w:t xml:space="preserve">months ended </w:t>
      </w:r>
      <w:r>
        <w:rPr>
          <w:rFonts w:ascii="Frutiger LT 45 Light;sans-serif" w:hAnsi="Frutiger LT 45 Light;sans-serif"/>
          <w:b w:val="false"/>
          <w:color w:val="000000"/>
          <w:sz w:val="20"/>
        </w:rPr>
        <w:t>June 30, 2026</w:t>
      </w:r>
      <w:r>
        <w:rPr>
          <w:rFonts w:ascii="Frutiger LT 45 Light;sans-serif" w:hAnsi="Frutiger LT 45 Light;sans-serif"/>
          <w:b w:val="false"/>
          <w:color w:val="000000"/>
          <w:sz w:val="20"/>
          <w:shd w:fill="FFFFFF" w:val="clear"/>
        </w:rPr>
        <w:t xml:space="preserve">, the Company incurred interest expense of </w:t>
      </w:r>
      <w:r>
        <w:rPr>
          <w:rFonts w:ascii="Frutiger LT 45 Light;sans-serif" w:hAnsi="Frutiger LT 45 Light;sans-serif"/>
          <w:b w:val="false"/>
          <w:color w:val="000000"/>
          <w:sz w:val="20"/>
        </w:rPr>
        <w:t xml:space="preserve">$0.1 million </w:t>
      </w:r>
      <w:r>
        <w:rPr>
          <w:rFonts w:ascii="Frutiger LT 45 Light;sans-serif" w:hAnsi="Frutiger LT 45 Light;sans-serif"/>
          <w:b w:val="false"/>
          <w:color w:val="000000"/>
          <w:sz w:val="20"/>
          <w:shd w:fill="FFFFFF" w:val="clear"/>
        </w:rPr>
        <w:t xml:space="preserve">and </w:t>
      </w:r>
      <w:r>
        <w:rPr>
          <w:rFonts w:ascii="Frutiger LT 45 Light;sans-serif" w:hAnsi="Frutiger LT 45 Light;sans-serif"/>
          <w:b w:val="false"/>
          <w:color w:val="000000"/>
          <w:sz w:val="20"/>
        </w:rPr>
        <w:t>$0.1 million, respectively. For the three and six</w:t>
      </w:r>
      <w:r>
        <w:rPr>
          <w:color w:val="000000"/>
          <w:shd w:fill="FFFFFF" w:val="clear"/>
        </w:rPr>
        <w:t xml:space="preserve"> </w:t>
      </w:r>
      <w:r>
        <w:rPr>
          <w:rFonts w:ascii="Frutiger LT 45 Light;sans-serif" w:hAnsi="Frutiger LT 45 Light;sans-serif"/>
          <w:b w:val="false"/>
          <w:color w:val="000000"/>
          <w:sz w:val="20"/>
          <w:shd w:fill="FFFFFF" w:val="clear"/>
        </w:rPr>
        <w:t xml:space="preserve">months ended </w:t>
      </w:r>
      <w:r>
        <w:rPr>
          <w:rFonts w:ascii="Frutiger LT 45 Light;sans-serif" w:hAnsi="Frutiger LT 45 Light;sans-serif"/>
          <w:b w:val="false"/>
          <w:color w:val="000000"/>
          <w:sz w:val="20"/>
        </w:rPr>
        <w:t>June 30, 2025</w:t>
      </w:r>
      <w:r>
        <w:rPr>
          <w:rFonts w:ascii="Frutiger LT 45 Light;sans-serif" w:hAnsi="Frutiger LT 45 Light;sans-serif"/>
          <w:b w:val="false"/>
          <w:color w:val="000000"/>
          <w:sz w:val="20"/>
          <w:shd w:fill="FFFFFF" w:val="clear"/>
        </w:rPr>
        <w:t xml:space="preserve">, the Company incurred interest expense of </w:t>
      </w:r>
      <w:r>
        <w:rPr>
          <w:rFonts w:ascii="Frutiger LT 45 Light;sans-serif" w:hAnsi="Frutiger LT 45 Light;sans-serif"/>
          <w:b w:val="false"/>
          <w:color w:val="000000"/>
          <w:sz w:val="20"/>
        </w:rPr>
        <w:t>$0.1 million</w:t>
      </w:r>
      <w:r>
        <w:rPr>
          <w:color w:val="000000"/>
          <w:shd w:fill="FFFFFF" w:val="clear"/>
        </w:rPr>
        <w:t xml:space="preserve"> </w:t>
      </w:r>
      <w:r>
        <w:rPr>
          <w:rFonts w:ascii="Frutiger LT 45 Light;sans-serif" w:hAnsi="Frutiger LT 45 Light;sans-serif"/>
          <w:b w:val="false"/>
          <w:color w:val="000000"/>
          <w:sz w:val="20"/>
        </w:rPr>
        <w:t xml:space="preserve">and $0.2 million,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7955"/>
                <wp:effectExtent l="0" t="0" r="0" b="0"/>
                <wp:wrapNone/>
                <wp:docPr id="17" name="Frame1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12</w:t>
                      </w:r>
                    </w:p>
                  </w:txbxContent>
                </v:textbox>
                <w10:wrap type="none"/>
              </v:rect>
            </w:pict>
          </mc:Fallback>
        </mc:AlternateContent>
      </w:r>
    </w:p>
    <w:p>
      <w:pPr>
        <w:pStyle w:val="TextBody"/>
        <w:bidi w:val="0"/>
        <w:spacing w:lineRule="auto" w:line="288" w:before="0" w:after="160"/>
        <w:jc w:val="left"/>
        <w:rPr/>
      </w:pPr>
      <w:hyperlink w:anchor="i54bb4eec0dab4063b7a5a162c0b6d974_7">
        <w:r>
          <w:rPr>
            <w:rStyle w:val="InternetLink"/>
          </w:rPr>
          <w:t xml:space="preserve">Table </w:t>
        </w:r>
      </w:hyperlink>
      <w:hyperlink w:anchor="i54bb4eec0dab4063b7a5a162c0b6d974_7">
        <w:r>
          <w:rPr>
            <w:rStyle w:val="InternetLink"/>
          </w:rPr>
          <w:t>of</w:t>
        </w:r>
      </w:hyperlink>
      <w:hyperlink w:anchor="i54bb4eec0dab4063b7a5a162c0b6d974_7">
        <w:r>
          <w:rPr>
            <w:rStyle w:val="InternetLink"/>
          </w:rPr>
          <w:t xml:space="preserve"> Contents</w:t>
        </w:r>
      </w:hyperlink>
    </w:p>
    <w:p>
      <w:pPr>
        <w:pStyle w:val="TextBody"/>
        <w:bidi w:val="0"/>
        <w:spacing w:lineRule="auto" w:line="288" w:before="0" w:after="160"/>
        <w:jc w:val="left"/>
        <w:rPr>
          <w:rFonts w:ascii="Frutiger LT 45 Light;sans-serif" w:hAnsi="Frutiger LT 45 Light;sans-serif"/>
          <w:b/>
          <w:i/>
          <w:color w:val="000000"/>
          <w:sz w:val="20"/>
        </w:rPr>
      </w:pPr>
      <w:r>
        <w:rPr>
          <w:rFonts w:ascii="Frutiger LT 45 Light;sans-serif" w:hAnsi="Frutiger LT 45 Light;sans-serif"/>
          <w:b/>
          <w:i/>
          <w:color w:val="000000"/>
          <w:sz w:val="20"/>
        </w:rPr>
        <w:t>Term Loans</w:t>
      </w:r>
    </w:p>
    <w:p>
      <w:pPr>
        <w:pStyle w:val="TextBody"/>
        <w:bidi w:val="0"/>
        <w:spacing w:lineRule="auto" w:line="288" w:before="0" w:after="160"/>
        <w:jc w:val="left"/>
        <w:rPr/>
      </w:pPr>
      <w:r>
        <w:rPr>
          <w:rFonts w:ascii="Frutiger LT 45 Light;sans-serif" w:hAnsi="Frutiger LT 45 Light;sans-serif"/>
          <w:b w:val="false"/>
          <w:color w:val="000000"/>
          <w:sz w:val="20"/>
        </w:rPr>
        <w:t xml:space="preserve">There were no material changes to the terms of the Company’s term loan or related interest rate swap agreements during the six months ended June 30, 2026. </w:t>
      </w:r>
      <w:r>
        <w:rPr>
          <w:rFonts w:ascii="Frutiger LT 45 Light;sans-serif" w:hAnsi="Frutiger LT 45 Light;sans-serif"/>
          <w:b w:val="false"/>
          <w:i/>
          <w:color w:val="000000"/>
          <w:sz w:val="20"/>
        </w:rPr>
        <w:t>See Note 8 to the Consolidated Financial Statements</w:t>
      </w:r>
      <w:r>
        <w:rPr>
          <w:color w:val="000000"/>
        </w:rPr>
        <w:t xml:space="preserve"> </w:t>
      </w:r>
      <w:r>
        <w:rPr>
          <w:rFonts w:ascii="Frutiger LT 45 Light;sans-serif" w:hAnsi="Frutiger LT 45 Light;sans-serif"/>
          <w:b w:val="false"/>
          <w:color w:val="000000"/>
          <w:sz w:val="20"/>
        </w:rPr>
        <w:t xml:space="preserve">in the Company’s Annual Report on Form 10-K for the year ended December 31, 2025 for a complete description of these arrangements. </w:t>
      </w:r>
    </w:p>
    <w:p>
      <w:pPr>
        <w:pStyle w:val="TextBody"/>
        <w:bidi w:val="0"/>
        <w:spacing w:lineRule="auto" w:line="288" w:before="0" w:after="160"/>
        <w:jc w:val="left"/>
        <w:rPr>
          <w:rFonts w:ascii="Frutiger LT 45 Light;sans-serif" w:hAnsi="Frutiger LT 45 Light;sans-serif"/>
          <w:b/>
          <w:i/>
          <w:color w:val="000000"/>
          <w:sz w:val="20"/>
        </w:rPr>
      </w:pPr>
      <w:r>
        <w:rPr>
          <w:rFonts w:ascii="Frutiger LT 45 Light;sans-serif" w:hAnsi="Frutiger LT 45 Light;sans-serif"/>
          <w:b/>
          <w:i/>
          <w:color w:val="000000"/>
          <w:sz w:val="20"/>
        </w:rPr>
        <w:t>Revolving Credit Agreement</w:t>
      </w:r>
    </w:p>
    <w:p>
      <w:pPr>
        <w:pStyle w:val="TextBody"/>
        <w:bidi w:val="0"/>
        <w:spacing w:lineRule="auto" w:line="288" w:before="0" w:after="160"/>
        <w:jc w:val="left"/>
        <w:rPr/>
      </w:pPr>
      <w:r>
        <w:rPr>
          <w:rFonts w:ascii="Frutiger LT 45 Light;sans-serif" w:hAnsi="Frutiger LT 45 Light;sans-serif"/>
          <w:b w:val="false"/>
          <w:color w:val="000000"/>
          <w:sz w:val="20"/>
        </w:rPr>
        <w:t xml:space="preserve">There were no material changes to the Revolving Credit Agreement (the “Revolving Credit Agreement”) with PNC Bank National Association, dated as of May 23, 2023 and as amended on June 20, 2024, which provides a revolving credit facility to the Company, with commitments in an aggregate principal amount not to exceed $50.0 million (as amended, the “Revolving Facility”) or the related financial covenants during the six months ended June 30, 2026. As of June 30, 2026, the Revolving Facility had an unutilized capacity of $50.0 million and the Company was in compliance with all financial covenants. </w:t>
      </w:r>
      <w:r>
        <w:rPr>
          <w:rFonts w:ascii="Frutiger LT 45 Light;sans-serif" w:hAnsi="Frutiger LT 45 Light;sans-serif"/>
          <w:b w:val="false"/>
          <w:i/>
          <w:color w:val="000000"/>
          <w:sz w:val="20"/>
        </w:rPr>
        <w:t>See Note 8 to the Consolidated Financial Statements</w:t>
      </w:r>
      <w:r>
        <w:rPr>
          <w:color w:val="000000"/>
        </w:rPr>
        <w:t xml:space="preserve"> </w:t>
      </w:r>
      <w:r>
        <w:rPr>
          <w:rFonts w:ascii="Frutiger LT 45 Light;sans-serif" w:hAnsi="Frutiger LT 45 Light;sans-serif"/>
          <w:b w:val="false"/>
          <w:color w:val="000000"/>
          <w:sz w:val="20"/>
        </w:rPr>
        <w:t>in the Company’s Annual Report on Form 10-K for the year ended December 31, 2025 for a complete description of the Revolving Credit Agreement.</w:t>
      </w:r>
    </w:p>
    <w:p>
      <w:pPr>
        <w:pStyle w:val="TextBody"/>
        <w:bidi w:val="0"/>
        <w:spacing w:lineRule="auto" w:line="288" w:before="0" w:after="160"/>
        <w:jc w:val="left"/>
        <w:rPr/>
      </w:pPr>
      <w:r>
        <w:rPr>
          <w:rFonts w:ascii="Frutiger LT 45 Light;sans-serif" w:hAnsi="Frutiger LT 45 Light;sans-serif"/>
          <w:b w:val="false"/>
          <w:color w:val="000000"/>
          <w:sz w:val="20"/>
          <w:shd w:fill="FFFFFF" w:val="clear"/>
        </w:rPr>
        <w:t>Each of the Revolving Facility and the term lo</w:t>
      </w:r>
      <w:r>
        <w:rPr>
          <w:rFonts w:ascii="Frutiger LT 45 Light;sans-serif" w:hAnsi="Frutiger LT 45 Light;sans-serif"/>
          <w:b w:val="false"/>
          <w:color w:val="000000"/>
          <w:sz w:val="20"/>
        </w:rPr>
        <w:t>ans requires the Company to maintain a consolidated leverage ratio of no greater than 2.00 to 1.</w:t>
      </w:r>
      <w:r>
        <w:rPr>
          <w:rFonts w:ascii="Frutiger LT 45 Light;sans-serif" w:hAnsi="Frutiger LT 45 Light;sans-serif"/>
          <w:b w:val="false"/>
          <w:color w:val="000000"/>
          <w:sz w:val="20"/>
          <w:shd w:fill="FFFFFF" w:val="clear"/>
        </w:rPr>
        <w:t xml:space="preserve">00 (or, after the occurrence of certain acquisitions, 2.50 to 1.00). </w:t>
      </w:r>
      <w:r>
        <w:rPr>
          <w:rFonts w:ascii="Frutiger LT 45 Light;sans-serif" w:hAnsi="Frutiger LT 45 Light;sans-serif"/>
          <w:b w:val="false"/>
          <w:color w:val="000000"/>
          <w:sz w:val="20"/>
        </w:rPr>
        <w:t xml:space="preserve">As of June 30, 2026 and December 31, 2025, the Company was in compliance with these covenants. The carrying amount of the Company’s variable rate debt as of June 30, 2026 and December 31, 2025 approximates fair value due to the short-term reset of the interest rate based on SOFR and the absence of a credit spread. </w:t>
      </w:r>
    </w:p>
    <w:p>
      <w:pPr>
        <w:pStyle w:val="TextBody"/>
        <w:bidi w:val="0"/>
        <w:spacing w:lineRule="auto" w:line="288" w:before="0" w:after="160"/>
        <w:jc w:val="left"/>
        <w:rPr>
          <w:rFonts w:ascii="Frutiger LT 45 Light;sans-serif" w:hAnsi="Frutiger LT 45 Light;sans-serif"/>
          <w:b/>
          <w:i/>
          <w:color w:val="000000"/>
          <w:sz w:val="20"/>
        </w:rPr>
      </w:pPr>
      <w:r>
        <w:rPr>
          <w:rFonts w:ascii="Frutiger LT 45 Light;sans-serif" w:hAnsi="Frutiger LT 45 Light;sans-serif"/>
          <w:b/>
          <w:i/>
          <w:color w:val="000000"/>
          <w:sz w:val="20"/>
        </w:rPr>
        <w:t>Deferred Acquisition Payables-Notes</w:t>
      </w:r>
    </w:p>
    <w:p>
      <w:pPr>
        <w:pStyle w:val="TextBody"/>
        <w:bidi w:val="0"/>
        <w:spacing w:lineRule="auto" w:line="288" w:before="0" w:after="160"/>
        <w:jc w:val="left"/>
        <w:rPr/>
      </w:pPr>
      <w:r>
        <w:rPr>
          <w:rFonts w:ascii="Frutiger LT 45 Light;sans-serif" w:hAnsi="Frutiger LT 45 Light;sans-serif"/>
          <w:b w:val="false"/>
          <w:color w:val="000000"/>
          <w:sz w:val="20"/>
        </w:rPr>
        <w:t xml:space="preserve">The Company’s deferred acquisition payables — notes represent seller notes issued in connection with acquisitions of customer list intangible assets in April 2023, March 2024, and October 2024. There were no material changes to the terms of these notes during the six months ended June 30, 2026. </w:t>
      </w:r>
      <w:r>
        <w:rPr>
          <w:rFonts w:ascii="Frutiger LT 45 Light;sans-serif" w:hAnsi="Frutiger LT 45 Light;sans-serif"/>
          <w:b w:val="false"/>
          <w:i/>
          <w:color w:val="000000"/>
          <w:sz w:val="20"/>
        </w:rPr>
        <w:t>See Note 8 to the Consolidated Financial Statements</w:t>
      </w:r>
      <w:r>
        <w:rPr>
          <w:color w:val="000000"/>
        </w:rPr>
        <w:t xml:space="preserve"> </w:t>
      </w:r>
      <w:r>
        <w:rPr>
          <w:rFonts w:ascii="Frutiger LT 45 Light;sans-serif" w:hAnsi="Frutiger LT 45 Light;sans-serif"/>
          <w:b w:val="false"/>
          <w:color w:val="000000"/>
          <w:sz w:val="20"/>
        </w:rPr>
        <w:t>in the Company’s Annual Report on Form 10-K for the year ended December 31, 2025 for a complete description of each note’s terms, interest rates, and repayment schedules.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45 Light;sans-serif" w:hAnsi="Frutiger LT 45 Light;sans-serif"/>
          <w:b/>
          <w:color w:val="000000"/>
          <w:sz w:val="24"/>
          <w:shd w:fill="FFFFFF" w:val="clear"/>
        </w:rPr>
      </w:pPr>
      <w:r>
        <w:rPr>
          <w:rFonts w:ascii="Frutiger LT 45 Light;sans-serif" w:hAnsi="Frutiger LT 45 Light;sans-serif"/>
          <w:b/>
          <w:color w:val="000000"/>
          <w:sz w:val="24"/>
          <w:shd w:fill="FFFFFF" w:val="clear"/>
        </w:rPr>
        <w:t>7.        Fair Value Measurements</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The Company measures certain assets and liabilities at fair value using the three-level hierarchy established under ASC Topic 820. There were no material changes to the Company’s fair value measurement policies during the six months ended June 30, 2026. See Note 9 to the Consolidated Financial Statements in the Company’s Annual Report on Form 10-K for the year ended December 31, 2025 for a complete description of the fair value hierarchy and the Company’s valuation methodologies.</w:t>
      </w:r>
    </w:p>
    <w:p>
      <w:pPr>
        <w:pStyle w:val="TextBody"/>
        <w:bidi w:val="0"/>
        <w:spacing w:lineRule="auto" w:line="288" w:before="0" w:after="160"/>
        <w:jc w:val="left"/>
        <w:rPr>
          <w:rFonts w:ascii="Frutiger LT 45 Light;sans-serif" w:hAnsi="Frutiger LT 45 Light;sans-serif"/>
          <w:b/>
          <w:i/>
          <w:color w:val="000000"/>
          <w:sz w:val="20"/>
        </w:rPr>
      </w:pPr>
      <w:r>
        <w:rPr>
          <w:rFonts w:ascii="Frutiger LT 45 Light;sans-serif" w:hAnsi="Frutiger LT 45 Light;sans-serif"/>
          <w:b/>
          <w:i/>
          <w:color w:val="000000"/>
          <w:sz w:val="20"/>
        </w:rPr>
        <w:t>Assets and Liabilities Measured at Fair Value on a Recurring Basis</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The following table summarizes the Company’s assets and liabilities measured at fair value on a recurring basis within each level of the fair value hierarchy (in thousands):</w:t>
      </w:r>
    </w:p>
    <w:tbl>
      <w:tblPr>
        <w:tblW w:w="10205" w:type="dxa"/>
        <w:jc w:val="left"/>
        <w:tblInd w:w="0" w:type="dxa"/>
        <w:tblLayout w:type="fixed"/>
        <w:tblCellMar>
          <w:top w:w="28" w:type="dxa"/>
          <w:left w:w="28" w:type="dxa"/>
          <w:bottom w:w="28" w:type="dxa"/>
          <w:right w:w="28" w:type="dxa"/>
        </w:tblCellMar>
      </w:tblPr>
      <w:tblGrid>
        <w:gridCol w:w="1063"/>
        <w:gridCol w:w="651"/>
        <w:gridCol w:w="659"/>
        <w:gridCol w:w="232"/>
        <w:gridCol w:w="447"/>
        <w:gridCol w:w="119"/>
        <w:gridCol w:w="109"/>
        <w:gridCol w:w="109"/>
        <w:gridCol w:w="109"/>
        <w:gridCol w:w="349"/>
        <w:gridCol w:w="672"/>
        <w:gridCol w:w="182"/>
        <w:gridCol w:w="109"/>
        <w:gridCol w:w="109"/>
        <w:gridCol w:w="109"/>
        <w:gridCol w:w="232"/>
        <w:gridCol w:w="447"/>
        <w:gridCol w:w="119"/>
        <w:gridCol w:w="109"/>
        <w:gridCol w:w="109"/>
        <w:gridCol w:w="109"/>
        <w:gridCol w:w="323"/>
        <w:gridCol w:w="714"/>
        <w:gridCol w:w="167"/>
        <w:gridCol w:w="109"/>
        <w:gridCol w:w="109"/>
        <w:gridCol w:w="109"/>
        <w:gridCol w:w="211"/>
        <w:gridCol w:w="616"/>
        <w:gridCol w:w="109"/>
        <w:gridCol w:w="109"/>
        <w:gridCol w:w="109"/>
        <w:gridCol w:w="109"/>
        <w:gridCol w:w="268"/>
        <w:gridCol w:w="784"/>
        <w:gridCol w:w="206"/>
      </w:tblGrid>
      <w:tr>
        <w:trPr/>
        <w:tc>
          <w:tcPr>
            <w:tcW w:w="1063"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373"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2" w:type="dxa"/>
            <w:gridSpan w:val="33"/>
            <w:tcBorders>
              <w:top w:val="single" w:sz="12"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Fair Value Hierarchy</w:t>
            </w:r>
          </w:p>
        </w:tc>
      </w:tr>
      <w:tr>
        <w:trPr/>
        <w:tc>
          <w:tcPr>
            <w:tcW w:w="2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Level 3</w:t>
            </w:r>
          </w:p>
        </w:tc>
      </w:tr>
      <w:tr>
        <w:trPr/>
        <w:tc>
          <w:tcPr>
            <w:tcW w:w="2373"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2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December 31,</w:t>
            </w:r>
          </w:p>
        </w:tc>
      </w:tr>
      <w:tr>
        <w:trPr/>
        <w:tc>
          <w:tcPr>
            <w:tcW w:w="2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2025</w:t>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Assets:</w:t>
            </w:r>
          </w:p>
        </w:tc>
        <w:tc>
          <w:tcPr>
            <w:tcW w:w="7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utiger LT 45 Light;sans-serif" w:hAnsi="Frutiger LT 45 Light;sans-serif"/>
                <w:b w:val="false"/>
                <w:color w:val="000000"/>
                <w:sz w:val="16"/>
              </w:rPr>
              <w:t>Interest rate swap</w:t>
            </w:r>
            <w:r>
              <w:rPr>
                <w:rFonts w:ascii="Frutiger LT 45 Light;sans-serif" w:hAnsi="Frutiger LT 45 Light;sans-serif"/>
                <w:b w:val="false"/>
                <w:color w:val="000000"/>
                <w:sz w:val="10"/>
              </w:rPr>
              <w:t>(1)</w:t>
            </w:r>
          </w:p>
        </w:tc>
        <w:tc>
          <w:tcPr>
            <w:tcW w:w="232" w:type="dxa"/>
            <w:tcBorders/>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44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67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447" w:type="dxa"/>
            <w:tcBorders/>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79 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14" w:type="dxa"/>
            <w:tcBorders/>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116 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8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Total assets measured at fair value</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116 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Liabilities:</w:t>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utiger LT 45 Light;sans-serif" w:hAnsi="Frutiger LT 45 Light;sans-serif"/>
                <w:b w:val="false"/>
                <w:color w:val="000000"/>
                <w:sz w:val="16"/>
              </w:rPr>
              <w:t>Contingent Considerations</w:t>
            </w:r>
            <w:r>
              <w:rPr>
                <w:rFonts w:ascii="Frutiger LT 45 Light;sans-serif" w:hAnsi="Frutiger LT 45 Light;sans-serif"/>
                <w:b w:val="false"/>
                <w:color w:val="000000"/>
                <w:sz w:val="10"/>
              </w:rPr>
              <w:t>(2)</w:t>
            </w:r>
          </w:p>
        </w:tc>
        <w:tc>
          <w:tcPr>
            <w:tcW w:w="232" w:type="dxa"/>
            <w:tcBorders/>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44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67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44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1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6,268 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84" w:type="dxa"/>
            <w:tcBorders/>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7,052 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Total liabilities measured at fair value</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7,052 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Frutiger LT 55 Roman;sans-serif" w:hAnsi="Frutiger LT 55 Roman;sans-serif"/>
          <w:b w:val="false"/>
          <w:color w:val="000000"/>
          <w:sz w:val="15"/>
        </w:rPr>
        <w:t>(1)</w:t>
      </w:r>
      <w:r>
        <w:rPr>
          <w:rFonts w:ascii="Frutiger LT 55 Roman;sans-serif" w:hAnsi="Frutiger LT 55 Roman;sans-serif"/>
          <w:b w:val="false"/>
          <w:color w:val="000000"/>
          <w:sz w:val="15"/>
        </w:rPr>
        <w:t>The interest rate swap is used to manage the Company’s exposure to interest rate fluctuations related to the Company’s term loans.</w:t>
      </w:r>
    </w:p>
    <w:p>
      <w:pPr>
        <w:pStyle w:val="TextBody"/>
        <w:bidi w:val="0"/>
        <w:spacing w:lineRule="auto" w:line="288" w:before="0" w:after="160"/>
        <w:jc w:val="left"/>
        <w:rPr/>
      </w:pPr>
      <w:r>
        <w:rPr>
          <w:rFonts w:ascii="Frutiger LT 55 Roman;sans-serif" w:hAnsi="Frutiger LT 55 Roman;sans-serif"/>
          <w:b w:val="false"/>
          <w:color w:val="000000"/>
          <w:sz w:val="15"/>
          <w:shd w:fill="FFFFFF" w:val="clear"/>
        </w:rPr>
        <w:t>(2)</w:t>
      </w:r>
      <w:r>
        <w:rPr>
          <w:rFonts w:ascii="Frutiger LT 55 Roman;sans-serif" w:hAnsi="Frutiger LT 55 Roman;sans-serif"/>
          <w:b w:val="false"/>
          <w:color w:val="000000"/>
          <w:sz w:val="15"/>
          <w:shd w:fill="FFFFFF" w:val="clear"/>
        </w:rPr>
        <w:t>The future contingent considerations are recorded in the current and non-current Deferred Acquisition Payables accounts of the Condensed Consolidated Balance Sheet.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7955"/>
                <wp:effectExtent l="0" t="0" r="0" b="0"/>
                <wp:wrapNone/>
                <wp:docPr id="18" name="Frame1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13</w:t>
                      </w:r>
                    </w:p>
                  </w:txbxContent>
                </v:textbox>
                <w10:wrap type="none"/>
              </v:rect>
            </w:pict>
          </mc:Fallback>
        </mc:AlternateContent>
      </w:r>
    </w:p>
    <w:p>
      <w:pPr>
        <w:pStyle w:val="TextBody"/>
        <w:bidi w:val="0"/>
        <w:spacing w:lineRule="auto" w:line="288" w:before="0" w:after="160"/>
        <w:jc w:val="left"/>
        <w:rPr/>
      </w:pPr>
      <w:hyperlink w:anchor="i54bb4eec0dab4063b7a5a162c0b6d974_7">
        <w:r>
          <w:rPr>
            <w:rStyle w:val="InternetLink"/>
          </w:rPr>
          <w:t xml:space="preserve">Table </w:t>
        </w:r>
      </w:hyperlink>
      <w:hyperlink w:anchor="i54bb4eec0dab4063b7a5a162c0b6d974_7">
        <w:r>
          <w:rPr>
            <w:rStyle w:val="InternetLink"/>
          </w:rPr>
          <w:t>of</w:t>
        </w:r>
      </w:hyperlink>
      <w:hyperlink w:anchor="i54bb4eec0dab4063b7a5a162c0b6d974_7">
        <w:r>
          <w:rPr>
            <w:rStyle w:val="InternetLink"/>
          </w:rPr>
          <w:t xml:space="preserve"> Contents</w:t>
        </w:r>
      </w:hyperlink>
    </w:p>
    <w:p>
      <w:pPr>
        <w:pStyle w:val="TextBody"/>
        <w:bidi w:val="0"/>
        <w:spacing w:lineRule="auto" w:line="288" w:before="0" w:after="160"/>
        <w:jc w:val="left"/>
        <w:rPr>
          <w:rFonts w:ascii="Frutiger LT 45 Light;sans-serif" w:hAnsi="Frutiger LT 45 Light;sans-serif"/>
          <w:b/>
          <w:i/>
          <w:color w:val="000000"/>
          <w:sz w:val="20"/>
        </w:rPr>
      </w:pPr>
      <w:r>
        <w:rPr>
          <w:rFonts w:ascii="Frutiger LT 45 Light;sans-serif" w:hAnsi="Frutiger LT 45 Light;sans-serif"/>
          <w:b/>
          <w:i/>
          <w:color w:val="000000"/>
          <w:sz w:val="20"/>
        </w:rPr>
        <w:t>Contingent Considerations</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Level 3 fair value measurements rely on limited unobservable inputs, which may not reflect net realizable value or future fair values. Although the Company believes its valuation methods align with market practices, different assumptions or methodologies could lead to varying fair value results at the reporting date.</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The fair value of contingent consideration liabilities is based on projected performance of the acquired entities, which are reassessed each reporting period. Based on the Company’s ongoing assessment of the fair value of its contingent consideration, during the six months ended June 30, 2026, the Company recorded a $0.8 million net decrease in the estimated fair value of liabilities which included $0.6 million cash paid for settlements. The Company has assessed the most likely exposure to the contingent consideration obligation to be $6.3 million at June 30, 2026.</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The following table sets forth a summary of the changes in the fair value of the Company’s future contingent considerations, which are measured at fair value on a recurring basis utilizing Level 3 assumptions in their valuation (in thousands):</w:t>
      </w:r>
    </w:p>
    <w:tbl>
      <w:tblPr>
        <w:tblW w:w="10050" w:type="dxa"/>
        <w:jc w:val="left"/>
        <w:tblInd w:w="0" w:type="dxa"/>
        <w:tblLayout w:type="fixed"/>
        <w:tblCellMar>
          <w:top w:w="28" w:type="dxa"/>
          <w:left w:w="28" w:type="dxa"/>
          <w:bottom w:w="28" w:type="dxa"/>
          <w:right w:w="28" w:type="dxa"/>
        </w:tblCellMar>
      </w:tblPr>
      <w:tblGrid>
        <w:gridCol w:w="2394"/>
        <w:gridCol w:w="2107"/>
        <w:gridCol w:w="2113"/>
        <w:gridCol w:w="331"/>
        <w:gridCol w:w="968"/>
        <w:gridCol w:w="171"/>
        <w:gridCol w:w="109"/>
        <w:gridCol w:w="109"/>
        <w:gridCol w:w="109"/>
        <w:gridCol w:w="236"/>
        <w:gridCol w:w="691"/>
        <w:gridCol w:w="122"/>
        <w:gridCol w:w="109"/>
        <w:gridCol w:w="109"/>
        <w:gridCol w:w="109"/>
        <w:gridCol w:w="109"/>
        <w:gridCol w:w="154"/>
      </w:tblGrid>
      <w:tr>
        <w:trPr/>
        <w:tc>
          <w:tcPr>
            <w:tcW w:w="2394"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Carrying Value</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6"/>
              </w:rPr>
            </w:pPr>
            <w:r>
              <w:rPr>
                <w:rFonts w:ascii="Frutiger LT 45 Light;sans-serif" w:hAnsi="Frutiger LT 45 Light;sans-serif"/>
                <w:b/>
                <w:color w:val="000000"/>
                <w:sz w:val="16"/>
              </w:rPr>
              <w:t>Balance at December 31, 2025</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7,052 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6,822 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Change in fair value of contingent consideration</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(653)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(423)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Fair value of contingent consideration-new issuances</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Settlement of contingent consideration</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(631)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(631)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6"/>
              </w:rPr>
            </w:pPr>
            <w:r>
              <w:rPr>
                <w:rFonts w:ascii="Frutiger LT 45 Light;sans-serif" w:hAnsi="Frutiger LT 45 Light;sans-serif"/>
                <w:b/>
                <w:color w:val="000000"/>
                <w:sz w:val="16"/>
              </w:rPr>
              <w:t>Balance at June 30, 2026</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6,268 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6,268 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Frutiger LT 45 Light;sans-serif" w:hAnsi="Frutiger LT 45 Light;sans-serif"/>
                <w:b/>
                <w:color w:val="000000"/>
                <w:sz w:val="16"/>
              </w:rPr>
              <w:t>Fair value of current contingent considerations as of June 30, 2026</w:t>
            </w:r>
            <w:r>
              <w:rPr>
                <w:rFonts w:ascii="Frutiger LT 45 Light;sans-serif" w:hAnsi="Frutiger LT 45 Light;sans-serif"/>
                <w:b/>
                <w:color w:val="000000"/>
                <w:sz w:val="10"/>
              </w:rPr>
              <w:t>(1)</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6,268 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6,268 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Frutiger LT 55 Roman;sans-serif" w:hAnsi="Frutiger LT 55 Roman;sans-serif"/>
          <w:b w:val="false"/>
          <w:color w:val="000000"/>
          <w:sz w:val="15"/>
          <w:shd w:fill="FFFFFF" w:val="clear"/>
        </w:rPr>
        <w:t>(1)</w:t>
      </w:r>
      <w:r>
        <w:rPr>
          <w:rFonts w:ascii="Frutiger LT 55 Roman;sans-serif" w:hAnsi="Frutiger LT 55 Roman;sans-serif"/>
          <w:b w:val="false"/>
          <w:color w:val="000000"/>
          <w:sz w:val="15"/>
          <w:shd w:fill="FFFFFF" w:val="clear"/>
        </w:rPr>
        <w:t>The Deferred Acquisition Payables-contingent considerations are cash payments that are due to the seller paid out over a future period. The fair value of Deferred Acquisition Payables-contingent considerations are based on current market rates for similar types of payment arrangements. The carrying value approximates its fair value compared to current market rates for similar payment arrangements. As of June 30, 2026, all contingent considerations are current.</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 xml:space="preserve">There were no transfers in or out of the Level 3 hierarchy. </w:t>
      </w:r>
    </w:p>
    <w:p>
      <w:pPr>
        <w:pStyle w:val="TextBody"/>
        <w:bidi w:val="0"/>
        <w:spacing w:lineRule="auto" w:line="288" w:before="0" w:after="160"/>
        <w:jc w:val="left"/>
        <w:rPr>
          <w:rFonts w:ascii="Frutiger LT 45 Light;sans-serif" w:hAnsi="Frutiger LT 45 Light;sans-serif"/>
          <w:b/>
          <w:i/>
          <w:color w:val="000000"/>
          <w:sz w:val="20"/>
        </w:rPr>
      </w:pPr>
      <w:r>
        <w:rPr>
          <w:rFonts w:ascii="Frutiger LT 45 Light;sans-serif" w:hAnsi="Frutiger LT 45 Light;sans-serif"/>
          <w:b/>
          <w:i/>
          <w:color w:val="000000"/>
          <w:sz w:val="20"/>
        </w:rPr>
        <w:t>Fair value information about financial instruments not measured at fair value</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The following table presents the Company’s debt that is not measured at fair value on a recurring basis:</w:t>
      </w:r>
    </w:p>
    <w:tbl>
      <w:tblPr>
        <w:tblW w:w="10205" w:type="dxa"/>
        <w:jc w:val="left"/>
        <w:tblInd w:w="0" w:type="dxa"/>
        <w:tblLayout w:type="fixed"/>
        <w:tblCellMar>
          <w:top w:w="28" w:type="dxa"/>
          <w:left w:w="28" w:type="dxa"/>
          <w:bottom w:w="28" w:type="dxa"/>
          <w:right w:w="28" w:type="dxa"/>
        </w:tblCellMar>
      </w:tblPr>
      <w:tblGrid>
        <w:gridCol w:w="1123"/>
        <w:gridCol w:w="983"/>
        <w:gridCol w:w="797"/>
        <w:gridCol w:w="506"/>
        <w:gridCol w:w="506"/>
        <w:gridCol w:w="507"/>
        <w:gridCol w:w="109"/>
        <w:gridCol w:w="109"/>
        <w:gridCol w:w="109"/>
        <w:gridCol w:w="274"/>
        <w:gridCol w:w="801"/>
        <w:gridCol w:w="141"/>
        <w:gridCol w:w="109"/>
        <w:gridCol w:w="109"/>
        <w:gridCol w:w="109"/>
        <w:gridCol w:w="224"/>
        <w:gridCol w:w="655"/>
        <w:gridCol w:w="115"/>
        <w:gridCol w:w="109"/>
        <w:gridCol w:w="109"/>
        <w:gridCol w:w="109"/>
        <w:gridCol w:w="274"/>
        <w:gridCol w:w="801"/>
        <w:gridCol w:w="141"/>
        <w:gridCol w:w="109"/>
        <w:gridCol w:w="109"/>
        <w:gridCol w:w="109"/>
        <w:gridCol w:w="223"/>
        <w:gridCol w:w="654"/>
        <w:gridCol w:w="172"/>
      </w:tblGrid>
      <w:tr>
        <w:trPr/>
        <w:tc>
          <w:tcPr>
            <w:tcW w:w="112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903"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June 30, 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December 31, 2025</w:t>
            </w:r>
          </w:p>
        </w:tc>
      </w:tr>
      <w:tr>
        <w:trPr/>
        <w:tc>
          <w:tcPr>
            <w:tcW w:w="2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Fair Value Hierarchy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Fair Value</w:t>
            </w:r>
          </w:p>
        </w:tc>
      </w:tr>
      <w:tr>
        <w:trPr/>
        <w:tc>
          <w:tcPr>
            <w:tcW w:w="2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6"/>
              </w:rPr>
            </w:pPr>
            <w:r>
              <w:rPr>
                <w:rFonts w:ascii="Frutiger LT 45 Light;sans-serif" w:hAnsi="Frutiger LT 45 Light;sans-serif"/>
                <w:b/>
                <w:color w:val="000000"/>
                <w:sz w:val="16"/>
              </w:rPr>
              <w:t>Bank debt:</w:t>
            </w:r>
          </w:p>
        </w:tc>
        <w:tc>
          <w:tcPr>
            <w:tcW w:w="15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Current bank debt</w:t>
            </w:r>
          </w:p>
        </w:tc>
        <w:tc>
          <w:tcPr>
            <w:tcW w:w="1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val="false"/>
                <w:color w:val="000000"/>
                <w:sz w:val="16"/>
              </w:rPr>
            </w:pPr>
            <w:r>
              <w:rPr>
                <w:rFonts w:ascii="Frutiger LT 45 Light;sans-serif" w:hAnsi="Frutiger LT 45 Light;sans-serif"/>
                <w:b w:val="false"/>
                <w:color w:val="000000"/>
                <w:sz w:val="16"/>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2,003 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2,003 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1,972 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1,972 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Frutiger LT 45 Light;sans-serif" w:hAnsi="Frutiger LT 45 Light;sans-serif"/>
                <w:b w:val="false"/>
                <w:color w:val="000000"/>
                <w:sz w:val="16"/>
              </w:rPr>
              <w:t>Long-term bank debt</w:t>
            </w:r>
            <w:r>
              <w:rPr>
                <w:rFonts w:ascii="Frutiger LT 45 Light;sans-serif" w:hAnsi="Frutiger LT 45 Light;sans-serif"/>
                <w:b w:val="false"/>
                <w:color w:val="000000"/>
                <w:sz w:val="10"/>
              </w:rPr>
              <w:t>(1)</w:t>
            </w:r>
          </w:p>
        </w:tc>
        <w:tc>
          <w:tcPr>
            <w:tcW w:w="1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val="false"/>
                <w:color w:val="000000"/>
                <w:sz w:val="16"/>
              </w:rPr>
            </w:pPr>
            <w:r>
              <w:rPr>
                <w:rFonts w:ascii="Frutiger LT 45 Light;sans-serif" w:hAnsi="Frutiger LT 45 Light;sans-serif"/>
                <w:b w:val="false"/>
                <w:color w:val="000000"/>
                <w:sz w:val="16"/>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1,025 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1,025 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2,035 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6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2,035 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Frutiger LT 45 Light;sans-serif" w:hAnsi="Frutiger LT 45 Light;sans-serif"/>
                <w:b/>
                <w:color w:val="000000"/>
                <w:sz w:val="16"/>
              </w:rPr>
              <w:t>Deferred Acquisition Payables-notes</w:t>
            </w:r>
            <w:r>
              <w:rPr>
                <w:rFonts w:ascii="Frutiger LT 45 Light;sans-serif" w:hAnsi="Frutiger LT 45 Light;sans-serif"/>
                <w:b/>
                <w:color w:val="000000"/>
                <w:sz w:val="10"/>
              </w:rPr>
              <w:t>(2)</w:t>
            </w:r>
            <w:r>
              <w:rPr>
                <w:rFonts w:ascii="Frutiger LT 45 Light;sans-serif" w:hAnsi="Frutiger LT 45 Light;sans-serif"/>
                <w:b/>
                <w:color w:val="000000"/>
                <w:sz w:val="16"/>
              </w:rPr>
              <w:t>:</w:t>
            </w:r>
          </w:p>
        </w:tc>
        <w:tc>
          <w:tcPr>
            <w:tcW w:w="1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Current Deferred Acquisition Payables-notes</w:t>
            </w:r>
          </w:p>
        </w:tc>
        <w:tc>
          <w:tcPr>
            <w:tcW w:w="1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val="false"/>
                <w:color w:val="000000"/>
                <w:sz w:val="16"/>
              </w:rPr>
            </w:pPr>
            <w:r>
              <w:rPr>
                <w:rFonts w:ascii="Frutiger LT 45 Light;sans-serif" w:hAnsi="Frutiger LT 45 Light;sans-serif"/>
                <w:b w:val="false"/>
                <w:color w:val="000000"/>
                <w:sz w:val="16"/>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481 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481 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593 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6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593 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Long-term Deferred Acquisition Payables-notes</w:t>
            </w:r>
          </w:p>
        </w:tc>
        <w:tc>
          <w:tcPr>
            <w:tcW w:w="1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val="false"/>
                <w:color w:val="000000"/>
                <w:sz w:val="16"/>
              </w:rPr>
            </w:pPr>
            <w:r>
              <w:rPr>
                <w:rFonts w:ascii="Frutiger LT 45 Light;sans-serif" w:hAnsi="Frutiger LT 45 Light;sans-serif"/>
                <w:b w:val="false"/>
                <w:color w:val="000000"/>
                <w:sz w:val="16"/>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343 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343 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529 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529 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left"/>
        <w:rPr/>
      </w:pPr>
      <w:r>
        <w:rPr>
          <w:rFonts w:ascii="Frutiger LT 55 Roman;sans-serif" w:hAnsi="Frutiger LT 55 Roman;sans-serif"/>
          <w:b w:val="false"/>
          <w:color w:val="000000"/>
          <w:sz w:val="15"/>
          <w:shd w:fill="FFFFFF" w:val="clear"/>
        </w:rPr>
        <w:t>(1)</w:t>
      </w:r>
      <w:r>
        <w:rPr>
          <w:rFonts w:ascii="Frutiger LT 55 Roman;sans-serif" w:hAnsi="Frutiger LT 55 Roman;sans-serif"/>
          <w:b w:val="false"/>
          <w:color w:val="000000"/>
          <w:sz w:val="15"/>
          <w:shd w:fill="FFFFFF" w:val="clear"/>
        </w:rPr>
        <w:t>The carrying value of the Company’s borrowings under various credit agreements approximates its fair value due to the variable interest rate based upon adjusted SOFR.</w:t>
      </w:r>
    </w:p>
    <w:p>
      <w:pPr>
        <w:pStyle w:val="TextBody"/>
        <w:bidi w:val="0"/>
        <w:spacing w:lineRule="auto" w:line="288" w:before="0" w:after="160"/>
        <w:jc w:val="left"/>
        <w:rPr>
          <w:rFonts w:ascii="Frutiger LT 55 Roman;sans-serif" w:hAnsi="Frutiger LT 55 Roman;sans-serif"/>
          <w:b w:val="false"/>
          <w:color w:val="000000"/>
          <w:sz w:val="15"/>
          <w:shd w:fill="FFFFFF" w:val="clear"/>
        </w:rPr>
      </w:pPr>
      <w:r>
        <w:rPr>
          <w:rFonts w:ascii="Frutiger LT 55 Roman;sans-serif" w:hAnsi="Frutiger LT 55 Roman;sans-serif"/>
          <w:b w:val="false"/>
          <w:color w:val="000000"/>
          <w:sz w:val="15"/>
          <w:shd w:fill="FFFFFF" w:val="clear"/>
        </w:rPr>
        <w:t>(2)     The Deferred Acquisition Payables-notes are cash payments that are due to the seller paid out over a future period. The fair value of Deferred Acquisition Payables-notes are based on current market rates for similar types of financing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45 Light;sans-serif" w:hAnsi="Frutiger LT 45 Light;sans-serif"/>
          <w:b/>
          <w:color w:val="000000"/>
          <w:sz w:val="24"/>
          <w:shd w:fill="FFFFFF" w:val="clear"/>
        </w:rPr>
      </w:pPr>
      <w:r>
        <w:rPr>
          <w:rFonts w:ascii="Frutiger LT 45 Light;sans-serif" w:hAnsi="Frutiger LT 45 Light;sans-serif"/>
          <w:b/>
          <w:color w:val="000000"/>
          <w:sz w:val="24"/>
          <w:shd w:fill="FFFFFF" w:val="clear"/>
        </w:rPr>
        <w:t>8.        STOCKHOLDERS’ EQUITY</w:t>
      </w:r>
    </w:p>
    <w:p>
      <w:pPr>
        <w:pStyle w:val="TextBody"/>
        <w:bidi w:val="0"/>
        <w:spacing w:lineRule="auto" w:line="26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The Company’s board of directors (the “Board”) approved an amended and restated certificate of incorporation (the “Restated Certificate of Incorporation”), which became effective on July 17, 2024 in connection with the IPO. The Restated Certificate of Incorporation authorizes the issuance of three classes of common stock: Class A common stock, par value $0.01 per share (“Class A Common Stock”), non-economic Class B common stock, par value $0.00001 per share (“Class B Common Stock” or “Class B Voting Stock”), and non-economic Class C common stock, par value $0.00001 per share (“Class C Common Stock” or “Class C Voting Stock”), and preferred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7955"/>
                <wp:effectExtent l="0" t="0" r="0" b="0"/>
                <wp:wrapNone/>
                <wp:docPr id="19" name="Frame1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7</w:t>
                      </w:r>
                    </w:p>
                  </w:txbxContent>
                </v:textbox>
                <w10:wrap type="none"/>
              </v:rect>
            </w:pict>
          </mc:Fallback>
        </mc:AlternateContent>
      </w:r>
    </w:p>
    <w:p>
      <w:pPr>
        <w:pStyle w:val="TextBody"/>
        <w:bidi w:val="0"/>
        <w:spacing w:lineRule="auto" w:line="288" w:before="0" w:after="160"/>
        <w:jc w:val="left"/>
        <w:rPr/>
      </w:pPr>
      <w:hyperlink w:anchor="i54bb4eec0dab4063b7a5a162c0b6d974_7">
        <w:r>
          <w:rPr>
            <w:rStyle w:val="InternetLink"/>
          </w:rPr>
          <w:t xml:space="preserve">Table </w:t>
        </w:r>
      </w:hyperlink>
      <w:hyperlink w:anchor="i54bb4eec0dab4063b7a5a162c0b6d974_7">
        <w:r>
          <w:rPr>
            <w:rStyle w:val="InternetLink"/>
          </w:rPr>
          <w:t>of</w:t>
        </w:r>
      </w:hyperlink>
      <w:hyperlink w:anchor="i54bb4eec0dab4063b7a5a162c0b6d974_7">
        <w:r>
          <w:rPr>
            <w:rStyle w:val="InternetLink"/>
          </w:rPr>
          <w:t xml:space="preserve"> Contents</w:t>
        </w:r>
      </w:hyperlink>
    </w:p>
    <w:p>
      <w:pPr>
        <w:pStyle w:val="TextBody"/>
        <w:bidi w:val="0"/>
        <w:spacing w:lineRule="auto" w:line="288" w:before="0" w:after="160"/>
        <w:jc w:val="left"/>
        <w:rPr/>
      </w:pPr>
      <w:r>
        <w:rPr>
          <w:rFonts w:ascii="Frutiger LT 45 Light;sans-serif" w:hAnsi="Frutiger LT 45 Light;sans-serif"/>
          <w:b w:val="false"/>
          <w:color w:val="000000"/>
          <w:sz w:val="20"/>
        </w:rPr>
        <w:t xml:space="preserve">As of June 30, 2026, an additional 20,780 shares of Class A Common Stock were issued upon vesting of restricted stock units (“RSUs”) in accordance with the Company's 2024 Omnibus Incentive Plan (the “2024 Incentive Plan”). </w:t>
      </w:r>
      <w:r>
        <w:rPr>
          <w:rFonts w:ascii="Frutiger LT 45 Light;sans-serif" w:hAnsi="Frutiger LT 45 Light;sans-serif"/>
          <w:b w:val="false"/>
          <w:i/>
          <w:color w:val="000000"/>
          <w:sz w:val="20"/>
        </w:rPr>
        <w:t>See Note 9 Stock-Based Compensation</w:t>
      </w:r>
      <w:r>
        <w:rPr>
          <w:rFonts w:ascii="Frutiger LT 45 Light;sans-serif" w:hAnsi="Frutiger LT 45 Light;sans-serif"/>
          <w:b w:val="false"/>
          <w:color w:val="000000"/>
          <w:sz w:val="20"/>
        </w:rPr>
        <w:t>.</w:t>
      </w:r>
    </w:p>
    <w:p>
      <w:pPr>
        <w:pStyle w:val="TextBody"/>
        <w:bidi w:val="0"/>
        <w:spacing w:lineRule="auto" w:line="288" w:before="0" w:after="160"/>
        <w:jc w:val="left"/>
        <w:rPr>
          <w:rFonts w:ascii="Frutiger LT 45 Light;sans-serif" w:hAnsi="Frutiger LT 45 Light;sans-serif"/>
          <w:b w:val="false"/>
          <w:i/>
          <w:color w:val="000000"/>
          <w:sz w:val="20"/>
        </w:rPr>
      </w:pPr>
      <w:r>
        <w:rPr>
          <w:rFonts w:ascii="Frutiger LT 45 Light;sans-serif" w:hAnsi="Frutiger LT 45 Light;sans-serif"/>
          <w:b w:val="false"/>
          <w:i/>
          <w:color w:val="000000"/>
          <w:sz w:val="20"/>
        </w:rPr>
        <w:t>Share Repurchase Program</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On February 23, 2026, our Board approved a share repurchase program that authorizes the Company to repurchase up to $50.0 million of its outstanding Class A common stock. Share repurchases may be made from time-to-time on the open market, in privately negotiated transactions, using Rule 10b5-1 trading plans, or in any other manner that complies with the applicable securities law. The timing of purchases and number of shares repurchased under the program will depend upon a variety of factors including the Company’s stock price, trading volume, working capital or other liquidity requirements, and market conditions. The Company is not obligated to purchase any shares under the program and the program may be suspended or discontinued at any time without notice. Through June 30, 2026, the Company repurchased and retired 2,252,349 shares in the open market for a total cost of $43.3 million, consisting of $42.9 million in cash paid for share repurchases and $0.4 million accrued for excise taxes.</w:t>
      </w:r>
    </w:p>
    <w:tbl>
      <w:tblPr>
        <w:tblW w:w="10205" w:type="dxa"/>
        <w:jc w:val="left"/>
        <w:tblInd w:w="0" w:type="dxa"/>
        <w:tblLayout w:type="fixed"/>
        <w:tblCellMar>
          <w:top w:w="28" w:type="dxa"/>
          <w:left w:w="28" w:type="dxa"/>
          <w:bottom w:w="28" w:type="dxa"/>
          <w:right w:w="28" w:type="dxa"/>
        </w:tblCellMar>
      </w:tblPr>
      <w:tblGrid>
        <w:gridCol w:w="375"/>
        <w:gridCol w:w="328"/>
        <w:gridCol w:w="334"/>
        <w:gridCol w:w="109"/>
        <w:gridCol w:w="109"/>
        <w:gridCol w:w="109"/>
        <w:gridCol w:w="692"/>
        <w:gridCol w:w="475"/>
        <w:gridCol w:w="476"/>
        <w:gridCol w:w="109"/>
        <w:gridCol w:w="109"/>
        <w:gridCol w:w="109"/>
        <w:gridCol w:w="274"/>
        <w:gridCol w:w="802"/>
        <w:gridCol w:w="141"/>
        <w:gridCol w:w="109"/>
        <w:gridCol w:w="109"/>
        <w:gridCol w:w="109"/>
        <w:gridCol w:w="856"/>
        <w:gridCol w:w="690"/>
        <w:gridCol w:w="692"/>
        <w:gridCol w:w="109"/>
        <w:gridCol w:w="109"/>
        <w:gridCol w:w="109"/>
        <w:gridCol w:w="402"/>
        <w:gridCol w:w="2061"/>
        <w:gridCol w:w="299"/>
      </w:tblGrid>
      <w:tr>
        <w:trPr/>
        <w:tc>
          <w:tcPr>
            <w:tcW w:w="37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037"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Period</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Total Number of Shares Purchased</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Average Price Paid per Share</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Total Number of Shares Purchased as Part of Publicly Announced Program</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2"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Approximate Dollar Value of Shares that May Yet Be Purchased Under the Program (Excluding Excise Tax)</w:t>
            </w:r>
          </w:p>
        </w:tc>
      </w:tr>
      <w:tr>
        <w:trPr/>
        <w:tc>
          <w:tcPr>
            <w:tcW w:w="1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March 6, 2026 -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872,397 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18.96 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872,397 </w:t>
            </w:r>
          </w:p>
        </w:tc>
        <w:tc>
          <w:tcPr>
            <w:tcW w:w="6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20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33,277,312 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April 1, 2026 - April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1,029,952 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19.00 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1,029,952 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20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13,881,938 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May 1, 2026 - May 12,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350,000 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19.26 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350,000 </w:t>
            </w:r>
          </w:p>
        </w:tc>
        <w:tc>
          <w:tcPr>
            <w:tcW w:w="6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20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7,142,418 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2,252,349 </w:t>
            </w:r>
          </w:p>
        </w:tc>
        <w:tc>
          <w:tcPr>
            <w:tcW w:w="4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2,252,349 </w:t>
            </w:r>
          </w:p>
        </w:tc>
        <w:tc>
          <w:tcPr>
            <w:tcW w:w="6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6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The following table summarizes the capitalization and voting rights of the Company’s classes of stock as of June 30, 2026:</w:t>
      </w:r>
    </w:p>
    <w:tbl>
      <w:tblPr>
        <w:tblW w:w="10205" w:type="dxa"/>
        <w:jc w:val="left"/>
        <w:tblInd w:w="0" w:type="dxa"/>
        <w:tblLayout w:type="fixed"/>
        <w:tblCellMar>
          <w:top w:w="28" w:type="dxa"/>
          <w:left w:w="28" w:type="dxa"/>
          <w:bottom w:w="28" w:type="dxa"/>
          <w:right w:w="28" w:type="dxa"/>
        </w:tblCellMar>
      </w:tblPr>
      <w:tblGrid>
        <w:gridCol w:w="471"/>
        <w:gridCol w:w="414"/>
        <w:gridCol w:w="417"/>
        <w:gridCol w:w="592"/>
        <w:gridCol w:w="594"/>
        <w:gridCol w:w="376"/>
        <w:gridCol w:w="109"/>
        <w:gridCol w:w="109"/>
        <w:gridCol w:w="109"/>
        <w:gridCol w:w="211"/>
        <w:gridCol w:w="826"/>
        <w:gridCol w:w="109"/>
        <w:gridCol w:w="109"/>
        <w:gridCol w:w="109"/>
        <w:gridCol w:w="109"/>
        <w:gridCol w:w="658"/>
        <w:gridCol w:w="658"/>
        <w:gridCol w:w="660"/>
        <w:gridCol w:w="109"/>
        <w:gridCol w:w="109"/>
        <w:gridCol w:w="109"/>
        <w:gridCol w:w="447"/>
        <w:gridCol w:w="447"/>
        <w:gridCol w:w="449"/>
        <w:gridCol w:w="109"/>
        <w:gridCol w:w="109"/>
        <w:gridCol w:w="109"/>
        <w:gridCol w:w="457"/>
        <w:gridCol w:w="457"/>
        <w:gridCol w:w="654"/>
      </w:tblGrid>
      <w:tr>
        <w:trPr/>
        <w:tc>
          <w:tcPr>
            <w:tcW w:w="47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130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Authorized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Par Value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Issued &amp; Outstanding</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Votes per share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Economic Rights</w:t>
            </w:r>
          </w:p>
        </w:tc>
      </w:tr>
      <w:tr>
        <w:trPr/>
        <w:tc>
          <w:tcPr>
            <w:tcW w:w="1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Preferred stock</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50,000,000 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val="false"/>
                <w:color w:val="000000"/>
                <w:sz w:val="16"/>
              </w:rPr>
            </w:pPr>
            <w:r>
              <w:rPr>
                <w:rFonts w:ascii="Frutiger LT 45 Light;sans-serif" w:hAnsi="Frutiger LT 45 Light;sans-serif"/>
                <w:b w:val="false"/>
                <w:color w:val="000000"/>
                <w:sz w:val="16"/>
              </w:rPr>
              <w:t>None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Common stock:</w:t>
            </w:r>
          </w:p>
        </w:tc>
        <w:tc>
          <w:tcPr>
            <w:tcW w:w="1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Frutiger LT 45 Light;sans-serif" w:hAnsi="Frutiger LT 45 Light;sans-serif"/>
                <w:b w:val="false"/>
                <w:color w:val="000000"/>
                <w:sz w:val="16"/>
              </w:rPr>
              <w:t>Class A</w:t>
            </w:r>
            <w:r>
              <w:rPr>
                <w:rFonts w:ascii="Frutiger LT 45 Light;sans-serif" w:hAnsi="Frutiger LT 45 Light;sans-serif"/>
                <w:b w:val="false"/>
                <w:color w:val="000000"/>
                <w:sz w:val="10"/>
              </w:rPr>
              <w:t>(1)</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300,000,000 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val="false"/>
                <w:color w:val="000000"/>
                <w:sz w:val="16"/>
              </w:rPr>
            </w:pPr>
            <w:r>
              <w:rPr>
                <w:rFonts w:ascii="Frutiger LT 45 Light;sans-serif" w:hAnsi="Frutiger LT 45 Light;sans-serif"/>
                <w:b w:val="false"/>
                <w:color w:val="000000"/>
                <w:sz w:val="16"/>
              </w:rPr>
              <w:t>12,797,112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val="false"/>
                <w:color w:val="000000"/>
                <w:sz w:val="16"/>
              </w:rPr>
            </w:pPr>
            <w:r>
              <w:rPr>
                <w:rFonts w:ascii="Frutiger LT 45 Light;sans-serif" w:hAnsi="Frutiger LT 45 Light;sans-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val="false"/>
                <w:color w:val="000000"/>
                <w:sz w:val="16"/>
              </w:rPr>
            </w:pPr>
            <w:r>
              <w:rPr>
                <w:rFonts w:ascii="Frutiger LT 45 Light;sans-serif" w:hAnsi="Frutiger LT 45 Light;sans-serif"/>
                <w:b w:val="false"/>
                <w:color w:val="000000"/>
                <w:sz w:val="16"/>
              </w:rPr>
              <w:t>Yes</w:t>
            </w:r>
          </w:p>
        </w:tc>
      </w:tr>
      <w:tr>
        <w:trPr/>
        <w:tc>
          <w:tcPr>
            <w:tcW w:w="13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Frutiger LT 45 Light;sans-serif" w:hAnsi="Frutiger LT 45 Light;sans-serif"/>
                <w:b w:val="false"/>
                <w:color w:val="000000"/>
                <w:sz w:val="16"/>
              </w:rPr>
              <w:t>Class B</w:t>
            </w:r>
            <w:r>
              <w:rPr>
                <w:rFonts w:ascii="Frutiger LT 45 Light;sans-serif" w:hAnsi="Frutiger LT 45 Light;sans-serif"/>
                <w:b w:val="false"/>
                <w:color w:val="000000"/>
                <w:sz w:val="10"/>
              </w:rPr>
              <w:t>(1)</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100,000,000 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0.00001 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val="false"/>
                <w:color w:val="000000"/>
                <w:sz w:val="16"/>
              </w:rPr>
            </w:pPr>
            <w:r>
              <w:rPr>
                <w:rFonts w:ascii="Frutiger LT 45 Light;sans-serif" w:hAnsi="Frutiger LT 45 Light;sans-serif"/>
                <w:b w:val="false"/>
                <w:color w:val="000000"/>
                <w:sz w:val="16"/>
              </w:rPr>
              <w:t>7,277,651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val="false"/>
                <w:color w:val="000000"/>
                <w:sz w:val="16"/>
              </w:rPr>
            </w:pPr>
            <w:r>
              <w:rPr>
                <w:rFonts w:ascii="Frutiger LT 45 Light;sans-serif" w:hAnsi="Frutiger LT 45 Light;sans-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val="false"/>
                <w:color w:val="000000"/>
                <w:sz w:val="16"/>
              </w:rPr>
            </w:pPr>
            <w:r>
              <w:rPr>
                <w:rFonts w:ascii="Frutiger LT 45 Light;sans-serif" w:hAnsi="Frutiger LT 45 Light;sans-serif"/>
                <w:b w:val="false"/>
                <w:color w:val="000000"/>
                <w:sz w:val="16"/>
              </w:rPr>
              <w:t>No</w:t>
            </w:r>
          </w:p>
        </w:tc>
      </w:tr>
      <w:tr>
        <w:trPr/>
        <w:tc>
          <w:tcPr>
            <w:tcW w:w="130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Frutiger LT 45 Light;sans-serif" w:hAnsi="Frutiger LT 45 Light;sans-serif"/>
                <w:b w:val="false"/>
                <w:color w:val="000000"/>
                <w:sz w:val="16"/>
              </w:rPr>
              <w:t>Class C</w:t>
            </w:r>
            <w:r>
              <w:rPr>
                <w:rFonts w:ascii="Frutiger LT 45 Light;sans-serif" w:hAnsi="Frutiger LT 45 Light;sans-serif"/>
                <w:b w:val="false"/>
                <w:color w:val="000000"/>
                <w:sz w:val="10"/>
              </w:rPr>
              <w:t>(2)</w:t>
            </w:r>
          </w:p>
        </w:tc>
        <w:tc>
          <w:tcPr>
            <w:tcW w:w="118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100,000,000 </w:t>
            </w:r>
          </w:p>
        </w:tc>
        <w:tc>
          <w:tcPr>
            <w:tcW w:w="37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2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0.00001 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Frutiger LT 45 Light;sans-serif" w:hAnsi="Frutiger LT 45 Light;sans-serif"/>
                <w:b w:val="false"/>
                <w:color w:val="000000"/>
                <w:sz w:val="16"/>
              </w:rPr>
            </w:pPr>
            <w:r>
              <w:rPr>
                <w:rFonts w:ascii="Frutiger LT 45 Light;sans-serif" w:hAnsi="Frutiger LT 45 Light;sans-serif"/>
                <w:b w:val="false"/>
                <w:color w:val="000000"/>
                <w:sz w:val="16"/>
              </w:rPr>
              <w:t>33,893,810</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Frutiger LT 45 Light;sans-serif" w:hAnsi="Frutiger LT 45 Light;sans-serif"/>
                <w:b w:val="false"/>
                <w:color w:val="000000"/>
                <w:sz w:val="16"/>
              </w:rPr>
            </w:pPr>
            <w:r>
              <w:rPr>
                <w:rFonts w:ascii="Frutiger LT 45 Light;sans-serif" w:hAnsi="Frutiger LT 45 Light;sans-serif"/>
                <w:b w:val="false"/>
                <w:color w:val="000000"/>
                <w:sz w:val="16"/>
              </w:rPr>
              <w:t>10</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Frutiger LT 45 Light;sans-serif" w:hAnsi="Frutiger LT 45 Light;sans-serif"/>
                <w:b w:val="false"/>
                <w:color w:val="000000"/>
                <w:sz w:val="16"/>
              </w:rPr>
            </w:pPr>
            <w:r>
              <w:rPr>
                <w:rFonts w:ascii="Frutiger LT 45 Light;sans-serif" w:hAnsi="Frutiger LT 45 Light;sans-serif"/>
                <w:b w:val="false"/>
                <w:color w:val="000000"/>
                <w:sz w:val="16"/>
              </w:rPr>
              <w:t>No</w:t>
            </w:r>
          </w:p>
        </w:tc>
      </w:tr>
    </w:tbl>
    <w:p>
      <w:pPr>
        <w:pStyle w:val="TextBody"/>
        <w:bidi w:val="0"/>
        <w:spacing w:lineRule="auto" w:line="288" w:before="0" w:after="60"/>
        <w:jc w:val="left"/>
        <w:rPr>
          <w:rFonts w:ascii="Frutiger LT 55 Roman;sans-serif" w:hAnsi="Frutiger LT 55 Roman;sans-serif"/>
          <w:b w:val="false"/>
          <w:color w:val="000000"/>
          <w:sz w:val="15"/>
        </w:rPr>
      </w:pPr>
      <w:r>
        <w:rPr>
          <w:rFonts w:ascii="Frutiger LT 55 Roman;sans-serif" w:hAnsi="Frutiger LT 55 Roman;sans-serif"/>
          <w:b w:val="false"/>
          <w:color w:val="000000"/>
          <w:sz w:val="15"/>
        </w:rPr>
        <w:t xml:space="preserve">(1)     Each share of Class A Common Stock and non-economic Class B Common Stock entitles its holders to one vote per share on all matters submitted to a vote of the stockholders. </w:t>
      </w:r>
    </w:p>
    <w:p>
      <w:pPr>
        <w:pStyle w:val="TextBody"/>
        <w:bidi w:val="0"/>
        <w:spacing w:lineRule="auto" w:line="288" w:before="0" w:after="160"/>
        <w:jc w:val="left"/>
        <w:rPr>
          <w:rFonts w:ascii="Frutiger LT 55 Roman;sans-serif" w:hAnsi="Frutiger LT 55 Roman;sans-serif"/>
          <w:b w:val="false"/>
          <w:color w:val="000000"/>
          <w:sz w:val="15"/>
        </w:rPr>
      </w:pPr>
      <w:r>
        <w:rPr>
          <w:rFonts w:ascii="Frutiger LT 55 Roman;sans-serif" w:hAnsi="Frutiger LT 55 Roman;sans-serif"/>
          <w:b w:val="false"/>
          <w:color w:val="000000"/>
          <w:sz w:val="15"/>
        </w:rPr>
        <w:t>(2)     Each share of non-economic Class C Common Stock entitles its holders to ten votes per share on all matters presented to the stockholders and on which the holders of the Class C Common Stock are entitled to vote; provided, that each share of Class C Common Stock will be entitled to one vote per share automatically (i) 12 months following the death or disability of Richard F. (“Gordy”) Bunch III or (ii) upon the first trading day on or after such date that the outstanding shares of non-economic Class C Common Stock represent less than 10% of the then-outstanding Class A Common Stock, non-economic Class B Common Stock and non-economic Class C Common Stock, which, in either instance, may be extended to 18 months upon affirmative approval of a majority of the independent directors.</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The Board is authorized to direct the Company to issue shares of preferred stock in one or more series and has the discretion to determine the number and designation of such series and the powers, rights, preferences, privileges and restrictions, including voting rights, dividend rights, conversion rights, redemption privileges and liquidation preferences, of each series of preferred stock. Through June 30, 2026, no shares of preferred stock have been issued.</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Holders of Class A Common Stock are entitled to receive dividends when and if declared by the Board out of funds legally available therefor, subject to any statutory or contractual restrictions on the payment of dividends and to any restrictions on the payment of dividends imposed by the terms of any outstanding preferred stock. Upon liquidation, dissolution or winding up and after payment in full of all amounts required to be paid to creditors and to the holders of preferred stock having liquidation preferences, if any, the holders of shares of Class A Common Stock will be entitled to receive pro rata our remaining assets available for distribution.</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Holders of the Company’s non-economic Class B and non-economic Class C Common Stock do not have any right to receive dividends or to receive a distribution upon a liquidation or winding up of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7955"/>
                <wp:effectExtent l="0" t="0" r="0" b="0"/>
                <wp:wrapNone/>
                <wp:docPr id="20" name="Frame2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8</w:t>
                      </w:r>
                    </w:p>
                  </w:txbxContent>
                </v:textbox>
                <w10:wrap type="none"/>
              </v:rect>
            </w:pict>
          </mc:Fallback>
        </mc:AlternateContent>
      </w:r>
    </w:p>
    <w:p>
      <w:pPr>
        <w:pStyle w:val="TextBody"/>
        <w:bidi w:val="0"/>
        <w:spacing w:lineRule="auto" w:line="288" w:before="0" w:after="160"/>
        <w:jc w:val="left"/>
        <w:rPr/>
      </w:pPr>
      <w:hyperlink w:anchor="i54bb4eec0dab4063b7a5a162c0b6d974_7">
        <w:r>
          <w:rPr>
            <w:rStyle w:val="InternetLink"/>
          </w:rPr>
          <w:t xml:space="preserve">Table </w:t>
        </w:r>
      </w:hyperlink>
      <w:hyperlink w:anchor="i54bb4eec0dab4063b7a5a162c0b6d974_7">
        <w:r>
          <w:rPr>
            <w:rStyle w:val="InternetLink"/>
          </w:rPr>
          <w:t>of</w:t>
        </w:r>
      </w:hyperlink>
      <w:hyperlink w:anchor="i54bb4eec0dab4063b7a5a162c0b6d974_7">
        <w:r>
          <w:rPr>
            <w:rStyle w:val="InternetLink"/>
          </w:rPr>
          <w:t xml:space="preserve"> Contents</w:t>
        </w:r>
      </w:hyperlink>
    </w:p>
    <w:p>
      <w:pPr>
        <w:pStyle w:val="TextBody"/>
        <w:bidi w:val="0"/>
        <w:spacing w:lineRule="auto" w:line="288" w:before="0" w:after="160"/>
        <w:jc w:val="both"/>
        <w:rPr>
          <w:rFonts w:ascii="Frutiger LT 45 Light;sans-serif" w:hAnsi="Frutiger LT 45 Light;sans-serif"/>
          <w:b w:val="false"/>
          <w:i/>
          <w:color w:val="000000"/>
          <w:sz w:val="20"/>
        </w:rPr>
      </w:pPr>
      <w:r>
        <w:rPr>
          <w:rFonts w:ascii="Frutiger LT 45 Light;sans-serif" w:hAnsi="Frutiger LT 45 Light;sans-serif"/>
          <w:b w:val="false"/>
          <w:i/>
          <w:color w:val="000000"/>
          <w:sz w:val="20"/>
        </w:rPr>
        <w:t>Noncontrolling interests</w:t>
      </w:r>
    </w:p>
    <w:p>
      <w:pPr>
        <w:pStyle w:val="TextBody"/>
        <w:bidi w:val="0"/>
        <w:spacing w:lineRule="auto" w:line="288" w:before="0" w:after="160"/>
        <w:jc w:val="left"/>
        <w:rPr/>
      </w:pPr>
      <w:r>
        <w:rPr>
          <w:rFonts w:ascii="Frutiger LT 45 Light;sans-serif" w:hAnsi="Frutiger LT 45 Light;sans-serif"/>
          <w:b w:val="false"/>
          <w:color w:val="000000"/>
          <w:sz w:val="20"/>
        </w:rPr>
        <w:t xml:space="preserve">Noncontrolling interests represent the economic interests of TWFG Holding held by Bunch Family Holdings, LLC, RenaissanceRe Ventures U.S. LLC and GHC Woodlands Holdings LLC (collectively, the “Pre-IPO LLC Members” or “Continuing Pre-IPO LLC Members”). During the second quarter of 2026, RFB Spousal Lifetime Trust and MCB Spousal Lifetime Trust became holders of noncontrolling interests. </w:t>
      </w:r>
      <w:r>
        <w:rPr>
          <w:rFonts w:ascii="Frutiger LT 45 Light;sans-serif" w:hAnsi="Frutiger LT 45 Light;sans-serif"/>
          <w:b w:val="false"/>
          <w:i/>
          <w:color w:val="000000"/>
          <w:sz w:val="20"/>
        </w:rPr>
        <w:t>See Note 12 Related Party Transactions for additional information.</w:t>
      </w:r>
    </w:p>
    <w:p>
      <w:pPr>
        <w:pStyle w:val="TextBody"/>
        <w:bidi w:val="0"/>
        <w:spacing w:lineRule="auto" w:line="288" w:before="0" w:after="160"/>
        <w:jc w:val="both"/>
        <w:rPr>
          <w:rFonts w:ascii="Frutiger LT 45 Light;sans-serif" w:hAnsi="Frutiger LT 45 Light;sans-serif"/>
          <w:b w:val="false"/>
          <w:color w:val="000000"/>
          <w:sz w:val="20"/>
        </w:rPr>
      </w:pPr>
      <w:r>
        <w:rPr>
          <w:rFonts w:ascii="Frutiger LT 45 Light;sans-serif" w:hAnsi="Frutiger LT 45 Light;sans-serif"/>
          <w:b w:val="false"/>
          <w:color w:val="000000"/>
          <w:sz w:val="20"/>
        </w:rPr>
        <w:t>The following table summarizes the ownership of TWFG Holding as of June 30, 2026:</w:t>
      </w:r>
    </w:p>
    <w:tbl>
      <w:tblPr>
        <w:tblW w:w="6189" w:type="dxa"/>
        <w:jc w:val="left"/>
        <w:tblInd w:w="0" w:type="dxa"/>
        <w:tblLayout w:type="fixed"/>
        <w:tblCellMar>
          <w:top w:w="28" w:type="dxa"/>
          <w:left w:w="28" w:type="dxa"/>
          <w:bottom w:w="28" w:type="dxa"/>
          <w:right w:w="28" w:type="dxa"/>
        </w:tblCellMar>
      </w:tblPr>
      <w:tblGrid>
        <w:gridCol w:w="763"/>
        <w:gridCol w:w="673"/>
        <w:gridCol w:w="679"/>
        <w:gridCol w:w="540"/>
        <w:gridCol w:w="541"/>
        <w:gridCol w:w="431"/>
        <w:gridCol w:w="109"/>
        <w:gridCol w:w="109"/>
        <w:gridCol w:w="109"/>
        <w:gridCol w:w="469"/>
        <w:gridCol w:w="469"/>
        <w:gridCol w:w="1297"/>
      </w:tblGrid>
      <w:tr>
        <w:trPr/>
        <w:tc>
          <w:tcPr>
            <w:tcW w:w="76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6"/>
              </w:rPr>
            </w:pPr>
            <w:r>
              <w:rPr>
                <w:rFonts w:ascii="Frutiger LT 45 Light;sans-serif" w:hAnsi="Frutiger LT 45 Light;sans-serif"/>
                <w:b/>
                <w:color w:val="000000"/>
                <w:sz w:val="16"/>
              </w:rPr>
              <w:t>Owner</w:t>
            </w:r>
          </w:p>
        </w:tc>
        <w:tc>
          <w:tcPr>
            <w:tcW w:w="1512"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Units Owned</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Ownership percentage</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TWFG, Inc.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12,797,112 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23.7 </w:t>
            </w:r>
          </w:p>
        </w:tc>
        <w:tc>
          <w:tcPr>
            <w:tcW w:w="1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Noncontrolling interests</w:t>
            </w:r>
          </w:p>
        </w:tc>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41,171,461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76.3 </w:t>
            </w:r>
          </w:p>
        </w:tc>
        <w:tc>
          <w:tcPr>
            <w:tcW w:w="1297" w:type="dxa"/>
            <w:tcBorders/>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Total</w:t>
            </w:r>
          </w:p>
        </w:tc>
        <w:tc>
          <w:tcPr>
            <w:tcW w:w="15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53,968,573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100.0 </w:t>
            </w:r>
          </w:p>
        </w:tc>
        <w:tc>
          <w:tcPr>
            <w:tcW w:w="1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r>
      <w:tr>
        <w:trPr/>
        <w:tc>
          <w:tcPr>
            <w:tcW w:w="21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Frutiger LT 45 Light;sans-serif" w:hAnsi="Frutiger LT 45 Light;sans-serif"/>
          <w:b w:val="false"/>
          <w:i/>
          <w:color w:val="000000"/>
          <w:sz w:val="20"/>
        </w:rPr>
        <w:t>Redeemable noncontrolling interest</w:t>
      </w:r>
      <w:r>
        <w:rPr>
          <w:color w:val="000000"/>
          <w:shd w:fill="FFFFFF" w:val="clear"/>
        </w:rPr>
        <w:t xml:space="preserve"> </w:t>
      </w:r>
    </w:p>
    <w:p>
      <w:pPr>
        <w:pStyle w:val="TextBody"/>
        <w:bidi w:val="0"/>
        <w:spacing w:lineRule="auto" w:line="288" w:before="0" w:after="160"/>
        <w:jc w:val="left"/>
        <w:rPr/>
      </w:pPr>
      <w:r>
        <w:rPr>
          <w:rFonts w:ascii="Frutiger LT 45 Light;sans-serif" w:hAnsi="Frutiger LT 45 Light;sans-serif"/>
          <w:b w:val="false"/>
          <w:color w:val="000000"/>
          <w:sz w:val="20"/>
          <w:shd w:fill="FFFFFF" w:val="clear"/>
        </w:rPr>
        <w:t xml:space="preserve">In the second quarter of 2025, the Company completed the acquisition of a </w:t>
      </w:r>
      <w:r>
        <w:rPr>
          <w:rFonts w:ascii="Frutiger LT 45 Light;sans-serif" w:hAnsi="Frutiger LT 45 Light;sans-serif"/>
          <w:b w:val="false"/>
          <w:color w:val="000000"/>
          <w:sz w:val="20"/>
        </w:rPr>
        <w:t>50.1%</w:t>
      </w:r>
      <w:r>
        <w:rPr>
          <w:color w:val="000000"/>
          <w:shd w:fill="FFFFFF" w:val="clear"/>
        </w:rPr>
        <w:t xml:space="preserve"> </w:t>
      </w:r>
      <w:r>
        <w:rPr>
          <w:rFonts w:ascii="Frutiger LT 45 Light;sans-serif" w:hAnsi="Frutiger LT 45 Light;sans-serif"/>
          <w:b w:val="false"/>
          <w:color w:val="000000"/>
          <w:sz w:val="20"/>
          <w:shd w:fill="FFFFFF" w:val="clear"/>
        </w:rPr>
        <w:t xml:space="preserve">controlling interest in TWFG MGA FL. The remaining interest is held by AIH Sub, Inc. with a right to put its interest to the Company beginning in 2030 and ending in 2033. The put right consideration to be paid is based on operational performance of TWFG MGA FL as determined at the time the right is exercised. </w:t>
      </w:r>
      <w:r>
        <w:rPr>
          <w:rFonts w:ascii="Frutiger LT 45 Light;sans-serif" w:hAnsi="Frutiger LT 45 Light;sans-serif"/>
          <w:b w:val="false"/>
          <w:i/>
          <w:color w:val="000000"/>
          <w:sz w:val="20"/>
          <w:shd w:fill="FFFFFF" w:val="clear"/>
        </w:rPr>
        <w:t>See Note 4 Intangibles, Acquisitions, and Disposals for additional information.</w:t>
      </w:r>
    </w:p>
    <w:p>
      <w:pPr>
        <w:pStyle w:val="TextBody"/>
        <w:bidi w:val="0"/>
        <w:spacing w:lineRule="auto" w:line="288" w:before="0" w:after="160"/>
        <w:jc w:val="left"/>
        <w:rPr>
          <w:rFonts w:ascii="Frutiger LT 45 Light;sans-serif" w:hAnsi="Frutiger LT 45 Light;sans-serif"/>
          <w:b w:val="false"/>
          <w:i/>
          <w:color w:val="000000"/>
          <w:sz w:val="20"/>
        </w:rPr>
      </w:pPr>
      <w:r>
        <w:rPr>
          <w:rFonts w:ascii="Frutiger LT 45 Light;sans-serif" w:hAnsi="Frutiger LT 45 Light;sans-serif"/>
          <w:b w:val="false"/>
          <w:i/>
          <w:color w:val="000000"/>
          <w:sz w:val="20"/>
        </w:rPr>
        <w:t>Cash Distributions to Members Related to Their Income Tax Liabilities</w:t>
      </w:r>
    </w:p>
    <w:p>
      <w:pPr>
        <w:pStyle w:val="TextBody"/>
        <w:bidi w:val="0"/>
        <w:spacing w:lineRule="auto" w:line="288" w:before="0" w:after="160"/>
        <w:jc w:val="left"/>
        <w:rPr/>
      </w:pPr>
      <w:r>
        <w:rPr>
          <w:rFonts w:ascii="Frutiger LT 45 Light;sans-serif" w:hAnsi="Frutiger LT 45 Light;sans-serif"/>
          <w:b w:val="false"/>
          <w:color w:val="000000"/>
          <w:sz w:val="20"/>
        </w:rPr>
        <w:t xml:space="preserve">As a limited liability company treated as a partnership for income tax purposes, TWFG Holding is not subject to any entity level U.S. federal income taxes, as these taxes are primarily the obligations of its members. Under the third amended and restated TWFG Holding LLC Agreement, TWFG Holding is required to distribute cash, to the extent that TWFG Holding has cash available, on a pro rata basis to its members to the extent necessary to cover the members’ tax liabilities, if any, with respect to each member’s share of net taxable income of TWFG Holding. TWFG Holding makes such tax distributions to its members quarterly, based on an estimated tax rate and projected year-to-date taxable income, with a final accounting once actual taxable income or loss has been determined. </w:t>
      </w:r>
      <w:r>
        <w:rPr>
          <w:rFonts w:ascii="Frutiger LT 45 Light;sans-serif" w:hAnsi="Frutiger LT 45 Light;sans-serif"/>
          <w:b w:val="false"/>
          <w:color w:val="000000"/>
          <w:sz w:val="20"/>
          <w:shd w:fill="FFFFFF" w:val="clear"/>
        </w:rPr>
        <w:t xml:space="preserve">TWFG Holding made tax distributions to its members totaling approximately </w:t>
      </w:r>
      <w:r>
        <w:rPr>
          <w:rFonts w:ascii="Frutiger LT 45 Light;sans-serif" w:hAnsi="Frutiger LT 45 Light;sans-serif"/>
          <w:b w:val="false"/>
          <w:color w:val="000000"/>
          <w:sz w:val="20"/>
        </w:rPr>
        <w:t xml:space="preserve">$7.5 million and $11.0 million for the three and six months ended June 30, 2026, respectively. </w:t>
      </w:r>
      <w:r>
        <w:rPr>
          <w:rFonts w:ascii="Frutiger LT 45 Light;sans-serif" w:hAnsi="Frutiger LT 45 Light;sans-serif"/>
          <w:b w:val="false"/>
          <w:color w:val="000000"/>
          <w:sz w:val="20"/>
          <w:shd w:fill="FFFFFF" w:val="clear"/>
        </w:rPr>
        <w:t xml:space="preserve">TWFG Holding made tax distributions to its members totaling approximately </w:t>
      </w:r>
      <w:r>
        <w:rPr>
          <w:rFonts w:ascii="Frutiger LT 45 Light;sans-serif" w:hAnsi="Frutiger LT 45 Light;sans-serif"/>
          <w:b w:val="false"/>
          <w:color w:val="000000"/>
          <w:sz w:val="20"/>
        </w:rPr>
        <w:t>$9.2 million and $11.9 million for the three and six months ended June 30, 2025, respectively. Non-tax distributions in the amounts of $3.9 million and $10.4 million were made for the three and six months ended June 30, 2026, respectively, and $6.1 million and $6.1 million were made for the three and six months ended June 30, 2025, respectively.</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In addition, during the three and six months ended June 30, 2026, a tax distribution in the amount of $2.6 million was paid to AIH Sub, Inc., the unconsolidated related party holding 49.9% interest in TWFG MGA FL.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45 Light;sans-serif" w:hAnsi="Frutiger LT 45 Light;sans-serif"/>
          <w:b/>
          <w:color w:val="000000"/>
          <w:sz w:val="24"/>
        </w:rPr>
      </w:pPr>
      <w:r>
        <w:rPr>
          <w:rFonts w:ascii="Frutiger LT 45 Light;sans-serif" w:hAnsi="Frutiger LT 45 Light;sans-serif"/>
          <w:b/>
          <w:color w:val="000000"/>
          <w:sz w:val="24"/>
        </w:rPr>
        <w:t>9.        STOCK-BASED COMPENSATION</w:t>
      </w:r>
    </w:p>
    <w:p>
      <w:pPr>
        <w:pStyle w:val="TextBody"/>
        <w:bidi w:val="0"/>
        <w:spacing w:lineRule="auto" w:line="288" w:before="0" w:after="160"/>
        <w:jc w:val="left"/>
        <w:rPr>
          <w:rFonts w:ascii="Frutiger LT 45 Light;sans-serif" w:hAnsi="Frutiger LT 45 Light;sans-serif"/>
          <w:b w:val="false"/>
          <w:i/>
          <w:color w:val="000000"/>
          <w:sz w:val="20"/>
        </w:rPr>
      </w:pPr>
      <w:r>
        <w:rPr>
          <w:rFonts w:ascii="Frutiger LT 45 Light;sans-serif" w:hAnsi="Frutiger LT 45 Light;sans-serif"/>
          <w:b w:val="false"/>
          <w:i/>
          <w:color w:val="000000"/>
          <w:sz w:val="20"/>
        </w:rPr>
        <w:t>2024 Omnibus Incentive Plan</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 xml:space="preserve">On July 17, 2024, the Company adopted the 2024 Incentive Plan for its directors, officers, employees, consultants and advisors. The 2024 Incentive Plan authorizes the granting of stock options, restricted stock, RSUs, stock appreciation rights, and other stock-based awards. The Company has reserved 4,346,667 shares of Class A Common Stock for issuance under the 2024 Incentive Plan, subject to annual increases pursuant to the terms of the 2024 Incentive Plan. During the six months ended June 30, 2026, the Company granted 150,465 RSUs and 73,000 performance stock units (“PSUs”) under the 2024 Incentive Plan, and 3,719,779 shares of Class A Common Stock remain available for future grant. </w:t>
      </w:r>
    </w:p>
    <w:p>
      <w:pPr>
        <w:pStyle w:val="TextBody"/>
        <w:bidi w:val="0"/>
        <w:spacing w:lineRule="auto" w:line="288" w:before="0" w:after="160"/>
        <w:jc w:val="left"/>
        <w:rPr>
          <w:rFonts w:ascii="Frutiger LT 45 Light;sans-serif" w:hAnsi="Frutiger LT 45 Light;sans-serif"/>
          <w:b w:val="false"/>
          <w:i/>
          <w:color w:val="000000"/>
          <w:sz w:val="20"/>
        </w:rPr>
      </w:pPr>
      <w:r>
        <w:rPr>
          <w:rFonts w:ascii="Frutiger LT 45 Light;sans-serif" w:hAnsi="Frutiger LT 45 Light;sans-serif"/>
          <w:b w:val="false"/>
          <w:i/>
          <w:color w:val="000000"/>
          <w:sz w:val="20"/>
        </w:rPr>
        <w:t>Stock-Based Compensation Expense</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Stock-based compensation expense recorded in salaries and employee benefits was $1.2 million and $2.0 million for the three and six months ended June 30, 2026, respectively, compared to $1.5 million and $2.7 million for the three and six months ended June 30,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7955"/>
                <wp:effectExtent l="0" t="0" r="0" b="0"/>
                <wp:wrapNone/>
                <wp:docPr id="21" name="Frame2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9</w:t>
                      </w:r>
                    </w:p>
                  </w:txbxContent>
                </v:textbox>
                <w10:wrap type="none"/>
              </v:rect>
            </w:pict>
          </mc:Fallback>
        </mc:AlternateContent>
      </w:r>
    </w:p>
    <w:p>
      <w:pPr>
        <w:pStyle w:val="TextBody"/>
        <w:bidi w:val="0"/>
        <w:spacing w:lineRule="auto" w:line="288" w:before="0" w:after="160"/>
        <w:jc w:val="left"/>
        <w:rPr/>
      </w:pPr>
      <w:hyperlink w:anchor="i54bb4eec0dab4063b7a5a162c0b6d974_7">
        <w:r>
          <w:rPr>
            <w:rStyle w:val="InternetLink"/>
          </w:rPr>
          <w:t xml:space="preserve">Table </w:t>
        </w:r>
      </w:hyperlink>
      <w:hyperlink w:anchor="i54bb4eec0dab4063b7a5a162c0b6d974_7">
        <w:r>
          <w:rPr>
            <w:rStyle w:val="InternetLink"/>
          </w:rPr>
          <w:t>of</w:t>
        </w:r>
      </w:hyperlink>
      <w:hyperlink w:anchor="i54bb4eec0dab4063b7a5a162c0b6d974_7">
        <w:r>
          <w:rPr>
            <w:rStyle w:val="InternetLink"/>
          </w:rPr>
          <w:t xml:space="preserve"> Contents</w:t>
        </w:r>
      </w:hyperlink>
    </w:p>
    <w:p>
      <w:pPr>
        <w:pStyle w:val="TextBody"/>
        <w:bidi w:val="0"/>
        <w:spacing w:lineRule="auto" w:line="288" w:before="0" w:after="160"/>
        <w:jc w:val="both"/>
        <w:rPr>
          <w:rFonts w:ascii="Frutiger LT 45 Light;sans-serif" w:hAnsi="Frutiger LT 45 Light;sans-serif"/>
          <w:b w:val="false"/>
          <w:i/>
          <w:color w:val="000000"/>
          <w:sz w:val="20"/>
        </w:rPr>
      </w:pPr>
      <w:r>
        <w:rPr>
          <w:rFonts w:ascii="Frutiger LT 45 Light;sans-serif" w:hAnsi="Frutiger LT 45 Light;sans-serif"/>
          <w:b w:val="false"/>
          <w:i/>
          <w:color w:val="000000"/>
          <w:sz w:val="20"/>
        </w:rPr>
        <w:t>Stock-Based Awards</w:t>
      </w:r>
    </w:p>
    <w:p>
      <w:pPr>
        <w:pStyle w:val="TextBody"/>
        <w:bidi w:val="0"/>
        <w:spacing w:lineRule="auto" w:line="288" w:before="0" w:after="160"/>
        <w:jc w:val="both"/>
        <w:rPr>
          <w:rFonts w:ascii="Frutiger LT 45 Light;sans-serif" w:hAnsi="Frutiger LT 45 Light;sans-serif"/>
          <w:b w:val="false"/>
          <w:i/>
          <w:color w:val="000000"/>
          <w:sz w:val="20"/>
          <w:shd w:fill="FFFFFF" w:val="clear"/>
        </w:rPr>
      </w:pPr>
      <w:r>
        <w:rPr>
          <w:rFonts w:ascii="Frutiger LT 45 Light;sans-serif" w:hAnsi="Frutiger LT 45 Light;sans-serif"/>
          <w:b w:val="false"/>
          <w:i/>
          <w:color w:val="000000"/>
          <w:sz w:val="20"/>
          <w:shd w:fill="FFFFFF" w:val="clear"/>
        </w:rPr>
        <w:t>RSUs</w:t>
      </w:r>
    </w:p>
    <w:p>
      <w:pPr>
        <w:pStyle w:val="TextBody"/>
        <w:bidi w:val="0"/>
        <w:spacing w:lineRule="auto" w:line="288" w:before="0" w:after="160"/>
        <w:jc w:val="left"/>
        <w:rPr/>
      </w:pPr>
      <w:r>
        <w:rPr>
          <w:rFonts w:ascii="Frutiger LT 45 Light;sans-serif" w:hAnsi="Frutiger LT 45 Light;sans-serif"/>
          <w:b w:val="false"/>
          <w:color w:val="000000"/>
          <w:sz w:val="20"/>
          <w:shd w:fill="FFFFFF" w:val="clear"/>
        </w:rPr>
        <w:t>The Company withholds and sells shares of Class A Common Stock associated with net settlements to cover tax withholding obligations upon th</w:t>
      </w:r>
      <w:r>
        <w:rPr>
          <w:rFonts w:ascii="Frutiger LT 45 Light;sans-serif" w:hAnsi="Frutiger LT 45 Light;sans-serif"/>
          <w:b w:val="false"/>
          <w:color w:val="000000"/>
          <w:sz w:val="20"/>
        </w:rPr>
        <w:t>e vesting of RSUs for certain employees under its 2024 Incentive Plan. During the six months ended June 30, 2026, 25,631 RSUs vested of which 25,467 were settled and 164 remained unsettled. From the settled RSUs, the Company withheld 4,687 RSUs for $0.1 million, resulting in the net issuance of 20,780 shares of Class A Common Stock. The vesting of RSUs is shown net of this withholding on the Condensed Consolidated</w:t>
      </w:r>
      <w:r>
        <w:rPr>
          <w:color w:val="000000"/>
          <w:shd w:fill="FFFFFF" w:val="clear"/>
        </w:rPr>
        <w:t xml:space="preserve"> </w:t>
      </w:r>
      <w:r>
        <w:rPr>
          <w:rFonts w:ascii="Frutiger LT 45 Light;sans-serif" w:hAnsi="Frutiger LT 45 Light;sans-serif"/>
          <w:b w:val="false"/>
          <w:color w:val="000000"/>
          <w:sz w:val="20"/>
          <w:shd w:fill="FFFFFF" w:val="clear"/>
        </w:rPr>
        <w:t>Statements of Changes in Redeemable Noncontrolling Interest and Stockholders’ Equity and Condensed Consolidated Statements of Cash Flows.</w:t>
      </w:r>
    </w:p>
    <w:p>
      <w:pPr>
        <w:pStyle w:val="TextBody"/>
        <w:bidi w:val="0"/>
        <w:spacing w:lineRule="auto" w:line="288" w:before="0" w:after="280"/>
        <w:jc w:val="left"/>
        <w:rPr/>
      </w:pPr>
      <w:r>
        <w:rPr>
          <w:rFonts w:ascii="Frutiger LT 45 Light;sans-serif" w:hAnsi="Frutiger LT 45 Light;sans-serif"/>
          <w:b w:val="false"/>
          <w:color w:val="000000"/>
          <w:sz w:val="20"/>
          <w:shd w:fill="FFFFFF" w:val="clear"/>
        </w:rPr>
        <w:t xml:space="preserve">Stock-based awards granted in the period include RSUs with service-based vesting conditions. Outstanding RSUs and related activity for the </w:t>
      </w:r>
      <w:r>
        <w:rPr>
          <w:rFonts w:ascii="Frutiger LT 45 Light;sans-serif" w:hAnsi="Frutiger LT 45 Light;sans-serif"/>
          <w:b w:val="false"/>
          <w:color w:val="000000"/>
          <w:sz w:val="20"/>
        </w:rPr>
        <w:t>six months ended</w:t>
      </w:r>
      <w:r>
        <w:rPr>
          <w:color w:val="000000"/>
          <w:shd w:fill="FFFFFF" w:val="clear"/>
        </w:rPr>
        <w:t xml:space="preserve"> </w:t>
      </w:r>
      <w:r>
        <w:rPr>
          <w:rFonts w:ascii="Frutiger LT 45 Light;sans-serif" w:hAnsi="Frutiger LT 45 Light;sans-serif"/>
          <w:b w:val="false"/>
          <w:color w:val="000000"/>
          <w:sz w:val="20"/>
        </w:rPr>
        <w:t>June 30, 2026</w:t>
      </w:r>
      <w:r>
        <w:rPr>
          <w:color w:val="000000"/>
          <w:shd w:fill="FFFFFF" w:val="clear"/>
        </w:rPr>
        <w:t xml:space="preserve"> </w:t>
      </w:r>
      <w:r>
        <w:rPr>
          <w:rFonts w:ascii="Frutiger LT 45 Light;sans-serif" w:hAnsi="Frutiger LT 45 Light;sans-serif"/>
          <w:b w:val="false"/>
          <w:color w:val="000000"/>
          <w:sz w:val="20"/>
          <w:shd w:fill="FFFFFF" w:val="clear"/>
        </w:rPr>
        <w:t>were as follows:</w:t>
      </w:r>
    </w:p>
    <w:tbl>
      <w:tblPr>
        <w:tblW w:w="8767" w:type="dxa"/>
        <w:jc w:val="left"/>
        <w:tblInd w:w="0" w:type="dxa"/>
        <w:tblLayout w:type="fixed"/>
        <w:tblCellMar>
          <w:top w:w="28" w:type="dxa"/>
          <w:left w:w="28" w:type="dxa"/>
          <w:bottom w:w="28" w:type="dxa"/>
          <w:right w:w="28" w:type="dxa"/>
        </w:tblCellMar>
      </w:tblPr>
      <w:tblGrid>
        <w:gridCol w:w="1201"/>
        <w:gridCol w:w="1056"/>
        <w:gridCol w:w="1058"/>
        <w:gridCol w:w="109"/>
        <w:gridCol w:w="109"/>
        <w:gridCol w:w="109"/>
        <w:gridCol w:w="609"/>
        <w:gridCol w:w="609"/>
        <w:gridCol w:w="611"/>
        <w:gridCol w:w="109"/>
        <w:gridCol w:w="109"/>
        <w:gridCol w:w="109"/>
        <w:gridCol w:w="638"/>
        <w:gridCol w:w="1864"/>
        <w:gridCol w:w="467"/>
      </w:tblGrid>
      <w:tr>
        <w:trPr/>
        <w:tc>
          <w:tcPr>
            <w:tcW w:w="120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Number of Awards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 xml:space="preserve">Weighted-Average Grant Date </w:t>
              <w:br/>
              <w:t>Fair Value</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Unvested balance-December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185,184 </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1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20.90 </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150,465 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18.52 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Frutiger LT 45 Light;sans-serif" w:hAnsi="Frutiger LT 45 Light;sans-serif"/>
                <w:b w:val="false"/>
                <w:color w:val="000000"/>
                <w:sz w:val="16"/>
              </w:rPr>
              <w:t>Vested</w:t>
            </w:r>
            <w:r>
              <w:rPr>
                <w:rFonts w:ascii="Frutiger LT 45 Light;sans-serif" w:hAnsi="Frutiger LT 45 Light;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(25,631)</w:t>
            </w:r>
          </w:p>
        </w:tc>
        <w:tc>
          <w:tcPr>
            <w:tcW w:w="6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30.91 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(8,426)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20.24 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Unvested balance-June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301,592 </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1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18.88 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Frutiger LT 55 Roman;sans-serif" w:hAnsi="Frutiger LT 55 Roman;sans-serif"/>
          <w:b w:val="false"/>
          <w:color w:val="000000"/>
          <w:sz w:val="15"/>
        </w:rPr>
      </w:pPr>
      <w:r>
        <w:rPr>
          <w:rFonts w:ascii="Frutiger LT 55 Roman;sans-serif" w:hAnsi="Frutiger LT 55 Roman;sans-serif"/>
          <w:b w:val="false"/>
          <w:color w:val="000000"/>
          <w:sz w:val="15"/>
        </w:rPr>
        <w:t>(1)     Includes 164 unexercised RSUs as of June 30, 2026</w:t>
      </w:r>
    </w:p>
    <w:p>
      <w:pPr>
        <w:pStyle w:val="TextBody"/>
        <w:bidi w:val="0"/>
        <w:spacing w:lineRule="auto" w:line="288" w:before="0" w:after="160"/>
        <w:jc w:val="both"/>
        <w:rPr>
          <w:rFonts w:ascii="Frutiger LT 45 Light;sans-serif" w:hAnsi="Frutiger LT 45 Light;sans-serif"/>
          <w:b w:val="false"/>
          <w:i/>
          <w:color w:val="000000"/>
          <w:sz w:val="20"/>
        </w:rPr>
      </w:pPr>
      <w:r>
        <w:rPr>
          <w:rFonts w:ascii="Frutiger LT 45 Light;sans-serif" w:hAnsi="Frutiger LT 45 Light;sans-serif"/>
          <w:b w:val="false"/>
          <w:i/>
          <w:color w:val="000000"/>
          <w:sz w:val="20"/>
        </w:rPr>
        <w:t>PSUs</w:t>
      </w:r>
    </w:p>
    <w:p>
      <w:pPr>
        <w:pStyle w:val="TextBody"/>
        <w:bidi w:val="0"/>
        <w:spacing w:lineRule="auto" w:line="288" w:before="0" w:after="160"/>
        <w:jc w:val="left"/>
        <w:rPr/>
      </w:pPr>
      <w:r>
        <w:rPr>
          <w:rFonts w:ascii="Frutiger LT 45 Light;sans-serif" w:hAnsi="Frutiger LT 45 Light;sans-serif"/>
          <w:b w:val="false"/>
          <w:color w:val="000000"/>
          <w:sz w:val="20"/>
        </w:rPr>
        <w:t>The Company has granted performance and service based awards to certain key employees, in the form of PSUs, which are earned based on the achievement of certain performance targets and continuous service. The PSUs are subject to a</w:t>
      </w:r>
      <w:r>
        <w:rPr>
          <w:color w:val="000000"/>
          <w:shd w:fill="FFFFFF" w:val="clear"/>
        </w:rPr>
        <w:t xml:space="preserve"> </w:t>
      </w:r>
      <w:r>
        <w:rPr>
          <w:rFonts w:ascii="Frutiger LT 45 Light;sans-serif" w:hAnsi="Frutiger LT 45 Light;sans-serif"/>
          <w:b w:val="false"/>
          <w:color w:val="000000"/>
          <w:sz w:val="20"/>
          <w:shd w:fill="FFFFFF" w:val="clear"/>
        </w:rPr>
        <w:t>two-year</w:t>
      </w:r>
      <w:r>
        <w:rPr>
          <w:color w:val="000000"/>
        </w:rPr>
        <w:t xml:space="preserve"> </w:t>
      </w:r>
      <w:r>
        <w:rPr>
          <w:rFonts w:ascii="Frutiger LT 45 Light;sans-serif" w:hAnsi="Frutiger LT 45 Light;sans-serif"/>
          <w:b w:val="false"/>
          <w:color w:val="000000"/>
          <w:sz w:val="20"/>
        </w:rPr>
        <w:t>measurement period during which the number of Class A Common Stock to be issued in settlement of the PSUs remains uncertain until the end of the measurement period and will cliff vest based on the level of achievement with respect to the applicable performance criteria. The PSUs are divided into two tranches: 50% Adjusted EBIT</w:t>
      </w:r>
      <w:r>
        <w:rPr>
          <w:rFonts w:ascii="Frutiger LT 45 Light;sans-serif" w:hAnsi="Frutiger LT 45 Light;sans-serif"/>
          <w:b w:val="false"/>
          <w:color w:val="000000"/>
          <w:sz w:val="20"/>
          <w:shd w:fill="FFFFFF" w:val="clear"/>
        </w:rPr>
        <w:t>DA PSUs and 50% Organic Revenue PSUs. The Adjusted EBITDA PSUs performance vest based on the achievement of certain cumulative Adjusted EBITDA targets over the performance period. The Revenue PSUs performance vest based on the achievement of certain cumulative Organic Revenue targets over the performance period. In addition, the PSUs granted to certain employees are contingent</w:t>
      </w:r>
      <w:r>
        <w:rPr>
          <w:color w:val="000000"/>
        </w:rPr>
        <w:t xml:space="preserve"> </w:t>
      </w:r>
      <w:r>
        <w:rPr>
          <w:rFonts w:ascii="Frutiger LT 45 Light;sans-serif" w:hAnsi="Frutiger LT 45 Light;sans-serif"/>
          <w:b w:val="false"/>
          <w:color w:val="000000"/>
          <w:sz w:val="20"/>
        </w:rPr>
        <w:t xml:space="preserve">generally upon the employee’s continuous service with the Company through the third anniversary of the grant date. Subsequent to such measurement period, the vesting of PSUs is subject to certification by the Compensation Committee of the Board. </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If the vesting conditions of the PSUs are not met the awards will be forfeited. Outstanding PSUs and related activity for the six months ended June 30, 2026 were as follows:</w:t>
      </w:r>
    </w:p>
    <w:tbl>
      <w:tblPr>
        <w:tblW w:w="8767" w:type="dxa"/>
        <w:jc w:val="left"/>
        <w:tblInd w:w="0" w:type="dxa"/>
        <w:tblLayout w:type="fixed"/>
        <w:tblCellMar>
          <w:top w:w="28" w:type="dxa"/>
          <w:left w:w="28" w:type="dxa"/>
          <w:bottom w:w="28" w:type="dxa"/>
          <w:right w:w="28" w:type="dxa"/>
        </w:tblCellMar>
      </w:tblPr>
      <w:tblGrid>
        <w:gridCol w:w="1201"/>
        <w:gridCol w:w="1056"/>
        <w:gridCol w:w="1058"/>
        <w:gridCol w:w="109"/>
        <w:gridCol w:w="109"/>
        <w:gridCol w:w="109"/>
        <w:gridCol w:w="609"/>
        <w:gridCol w:w="609"/>
        <w:gridCol w:w="611"/>
        <w:gridCol w:w="109"/>
        <w:gridCol w:w="109"/>
        <w:gridCol w:w="109"/>
        <w:gridCol w:w="638"/>
        <w:gridCol w:w="1864"/>
        <w:gridCol w:w="467"/>
      </w:tblGrid>
      <w:tr>
        <w:trPr/>
        <w:tc>
          <w:tcPr>
            <w:tcW w:w="120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Number of Awards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 xml:space="preserve">Weighted-Average Grant Date </w:t>
              <w:br/>
              <w:t>Fair Value</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Unvested balance-December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39,143 </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1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30.87 </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73,000 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18.39 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(1,343)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30.91 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Unvested balance-June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110,800 </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1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22.63 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Frutiger LT 45 Light;sans-serif" w:hAnsi="Frutiger LT 45 Light;sans-serif"/>
          <w:b w:val="false"/>
          <w:i/>
          <w:color w:val="000000"/>
          <w:sz w:val="20"/>
        </w:rPr>
        <w:t>Summary of Unamortized Compensation Expense</w:t>
      </w:r>
      <w:r>
        <w:rPr>
          <w:color w:val="000000"/>
        </w:rPr>
        <w:t xml:space="preserve"> </w:t>
      </w:r>
    </w:p>
    <w:p>
      <w:pPr>
        <w:pStyle w:val="TextBody"/>
        <w:bidi w:val="0"/>
        <w:spacing w:lineRule="auto" w:line="288" w:before="0" w:after="160"/>
        <w:jc w:val="left"/>
        <w:rPr/>
      </w:pPr>
      <w:r>
        <w:rPr>
          <w:rFonts w:ascii="Frutiger LT 45 Light;sans-serif" w:hAnsi="Frutiger LT 45 Light;sans-serif"/>
          <w:b w:val="false"/>
          <w:color w:val="000000"/>
          <w:sz w:val="20"/>
        </w:rPr>
        <w:t>As of June 30, 2026, the Company estimated $5.0 million</w:t>
      </w:r>
      <w:r>
        <w:rPr>
          <w:color w:val="000000"/>
          <w:shd w:fill="FFFFFF" w:val="clear"/>
        </w:rPr>
        <w:t xml:space="preserve"> </w:t>
      </w:r>
      <w:r>
        <w:rPr>
          <w:rFonts w:ascii="Frutiger LT 45 Light;sans-serif" w:hAnsi="Frutiger LT 45 Light;sans-serif"/>
          <w:b w:val="false"/>
          <w:color w:val="000000"/>
          <w:sz w:val="20"/>
          <w:shd w:fill="FFFFFF" w:val="clear"/>
        </w:rPr>
        <w:t xml:space="preserve">of </w:t>
      </w:r>
      <w:r>
        <w:rPr>
          <w:rFonts w:ascii="Frutiger LT 45 Light;sans-serif" w:hAnsi="Frutiger LT 45 Light;sans-serif"/>
          <w:b w:val="false"/>
          <w:color w:val="000000"/>
          <w:sz w:val="20"/>
        </w:rPr>
        <w:t>unamortized compensation expense related to all non-vested stock-based compensation arrangements granted under the Company’s stock-based compensation plans, based upon current projections of grants measu</w:t>
      </w:r>
      <w:r>
        <w:rPr>
          <w:rFonts w:ascii="Frutiger LT 45 Light;sans-serif" w:hAnsi="Frutiger LT 45 Light;sans-serif"/>
          <w:b w:val="false"/>
          <w:color w:val="000000"/>
          <w:sz w:val="20"/>
          <w:shd w:fill="FFFFFF" w:val="clear"/>
        </w:rPr>
        <w:t xml:space="preserve">red against performance criteria. This unamortized compensation expense is expected to be recognized over a weighted-average period of </w:t>
      </w:r>
      <w:r>
        <w:rPr>
          <w:rFonts w:ascii="Frutiger LT 45 Light;sans-serif" w:hAnsi="Frutiger LT 45 Light;sans-serif"/>
          <w:b w:val="false"/>
          <w:color w:val="000000"/>
          <w:sz w:val="20"/>
        </w:rPr>
        <w:t>2.1 years</w:t>
      </w:r>
      <w:r>
        <w:rPr>
          <w:rFonts w:ascii="Frutiger LT 45 Light;sans-serif" w:hAnsi="Frutiger LT 45 Light;sans-serif"/>
          <w:b w:val="false"/>
          <w:color w:val="000000"/>
          <w:sz w:val="20"/>
          <w:shd w:fill="FFFFFF" w:val="clear"/>
        </w:rPr>
        <w: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7955"/>
                <wp:effectExtent l="0" t="0" r="0" b="0"/>
                <wp:wrapNone/>
                <wp:docPr id="22" name="Frame2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10</w:t>
                      </w:r>
                    </w:p>
                  </w:txbxContent>
                </v:textbox>
                <w10:wrap type="none"/>
              </v:rect>
            </w:pict>
          </mc:Fallback>
        </mc:AlternateContent>
      </w:r>
    </w:p>
    <w:p>
      <w:pPr>
        <w:pStyle w:val="TextBody"/>
        <w:bidi w:val="0"/>
        <w:spacing w:lineRule="auto" w:line="288" w:before="0" w:after="160"/>
        <w:jc w:val="left"/>
        <w:rPr/>
      </w:pPr>
      <w:hyperlink w:anchor="i54bb4eec0dab4063b7a5a162c0b6d974_7">
        <w:r>
          <w:rPr>
            <w:rStyle w:val="InternetLink"/>
          </w:rPr>
          <w:t xml:space="preserve">Table </w:t>
        </w:r>
      </w:hyperlink>
      <w:hyperlink w:anchor="i54bb4eec0dab4063b7a5a162c0b6d974_7">
        <w:r>
          <w:rPr>
            <w:rStyle w:val="InternetLink"/>
          </w:rPr>
          <w:t>of</w:t>
        </w:r>
      </w:hyperlink>
      <w:hyperlink w:anchor="i54bb4eec0dab4063b7a5a162c0b6d974_7">
        <w:r>
          <w:rPr>
            <w:rStyle w:val="InternetLink"/>
          </w:rPr>
          <w:t xml:space="preserve"> Contents</w:t>
        </w:r>
      </w:hyperlink>
    </w:p>
    <w:p>
      <w:pPr>
        <w:pStyle w:val="TextBody"/>
        <w:bidi w:val="0"/>
        <w:spacing w:lineRule="auto" w:line="288" w:before="0" w:after="160"/>
        <w:jc w:val="left"/>
        <w:rPr/>
      </w:pPr>
      <w:r>
        <w:rPr>
          <w:rFonts w:ascii="Frutiger LT 45 Light;sans-serif" w:hAnsi="Frutiger LT 45 Light;sans-serif"/>
          <w:b/>
          <w:color w:val="000000"/>
          <w:sz w:val="24"/>
        </w:rPr>
        <w:t>10.        </w:t>
      </w:r>
      <w:r>
        <w:rPr>
          <w:rFonts w:ascii="Frutiger LT 45 Light;sans-serif" w:hAnsi="Frutiger LT 45 Light;sans-serif"/>
          <w:b/>
          <w:color w:val="000000"/>
          <w:sz w:val="24"/>
          <w:shd w:fill="FFFFFF" w:val="clear"/>
        </w:rPr>
        <w:t>INCOME TAXES</w:t>
      </w:r>
    </w:p>
    <w:p>
      <w:pPr>
        <w:pStyle w:val="TextBody"/>
        <w:bidi w:val="0"/>
        <w:spacing w:lineRule="auto" w:line="288" w:before="0" w:after="160"/>
        <w:jc w:val="left"/>
        <w:rPr>
          <w:rFonts w:ascii="Frutiger LT 45 Light;sans-serif" w:hAnsi="Frutiger LT 45 Light;sans-serif"/>
          <w:b w:val="false"/>
          <w:color w:val="000000"/>
          <w:sz w:val="20"/>
          <w:shd w:fill="FFFFFF" w:val="clear"/>
        </w:rPr>
      </w:pPr>
      <w:r>
        <w:rPr>
          <w:rFonts w:ascii="Frutiger LT 45 Light;sans-serif" w:hAnsi="Frutiger LT 45 Light;sans-serif"/>
          <w:b w:val="false"/>
          <w:color w:val="000000"/>
          <w:sz w:val="20"/>
          <w:shd w:fill="FFFFFF" w:val="clear"/>
        </w:rPr>
        <w:t>The Company accounts for income taxes using the asset and liability method, which requires the recognition of deferred tax assets and liabilities for the expected future tax consequences of events that have been recognized in the Condensed Consolidated Financial Statements or in the Company’s tax returns. Deferred tax assets and liabilities are determined based on the difference between the financial statement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pStyle w:val="TextBody"/>
        <w:bidi w:val="0"/>
        <w:spacing w:lineRule="auto" w:line="288" w:before="0" w:after="160"/>
        <w:jc w:val="left"/>
        <w:rPr/>
      </w:pPr>
      <w:r>
        <w:rPr>
          <w:rFonts w:ascii="Frutiger LT 45 Light;sans-serif" w:hAnsi="Frutiger LT 45 Light;sans-serif"/>
          <w:b w:val="false"/>
          <w:color w:val="000000"/>
          <w:sz w:val="20"/>
          <w:shd w:fill="FFFFFF" w:val="clear"/>
        </w:rPr>
        <w:t>Income tax expense wa</w:t>
      </w:r>
      <w:r>
        <w:rPr>
          <w:rFonts w:ascii="Frutiger LT 45 Light;sans-serif" w:hAnsi="Frutiger LT 45 Light;sans-serif"/>
          <w:b w:val="false"/>
          <w:color w:val="000000"/>
          <w:sz w:val="20"/>
        </w:rPr>
        <w:t xml:space="preserve">s $1.0 million </w:t>
      </w:r>
      <w:r>
        <w:rPr>
          <w:rFonts w:ascii="Frutiger LT 45 Light;sans-serif" w:hAnsi="Frutiger LT 45 Light;sans-serif"/>
          <w:b w:val="false"/>
          <w:color w:val="000000"/>
          <w:sz w:val="20"/>
          <w:shd w:fill="FFFFFF" w:val="clear"/>
        </w:rPr>
        <w:t>a</w:t>
      </w:r>
      <w:r>
        <w:rPr>
          <w:rFonts w:ascii="Frutiger LT 45 Light;sans-serif" w:hAnsi="Frutiger LT 45 Light;sans-serif"/>
          <w:b w:val="false"/>
          <w:color w:val="000000"/>
          <w:sz w:val="20"/>
        </w:rPr>
        <w:t xml:space="preserve">nd $2.2 million for the three and six months ended June 30, 2026, respectively, and $0.6 million and $1.3 million for the three and six months ended June 30, 2025, respectively. The estimated effective tax rate was 5.64% and 6.66% </w:t>
      </w:r>
      <w:r>
        <w:rPr>
          <w:rFonts w:ascii="Frutiger LT 45 Light;sans-serif" w:hAnsi="Frutiger LT 45 Light;sans-serif"/>
          <w:b w:val="false"/>
          <w:color w:val="000000"/>
          <w:sz w:val="20"/>
          <w:shd w:fill="FFFFFF" w:val="clear"/>
        </w:rPr>
        <w:t xml:space="preserve">for the three and six months ended </w:t>
      </w:r>
      <w:r>
        <w:rPr>
          <w:rFonts w:ascii="Frutiger LT 45 Light;sans-serif" w:hAnsi="Frutiger LT 45 Light;sans-serif"/>
          <w:b w:val="false"/>
          <w:color w:val="000000"/>
          <w:sz w:val="20"/>
        </w:rPr>
        <w:t xml:space="preserve">June 30, 2026, respectively, and 6.45% and 7.45% for the three and six months ended June 30, 2025, </w:t>
      </w:r>
      <w:r>
        <w:rPr>
          <w:rFonts w:ascii="Frutiger LT 45 Light;sans-serif" w:hAnsi="Frutiger LT 45 Light;sans-serif"/>
          <w:b w:val="false"/>
          <w:color w:val="000000"/>
          <w:sz w:val="20"/>
          <w:shd w:fill="FFFFFF" w:val="clear"/>
        </w:rPr>
        <w:t>respectively, which is different from the 21% statutory rate primarily because income tax expense is recognized only on the portion of earnings attributable to the Company in the periods following the consummation of the Reorganization Transactions.</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As of June 30, 2026 and December 31, 2025, the Company did not have any material uncertain tax positions.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45 Light;sans-serif" w:hAnsi="Frutiger LT 45 Light;sans-serif"/>
          <w:b/>
          <w:color w:val="000000"/>
          <w:sz w:val="24"/>
        </w:rPr>
      </w:pPr>
      <w:r>
        <w:rPr>
          <w:rFonts w:ascii="Frutiger LT 45 Light;sans-serif" w:hAnsi="Frutiger LT 45 Light;sans-serif"/>
          <w:b/>
          <w:color w:val="000000"/>
          <w:sz w:val="24"/>
        </w:rPr>
        <w:t>11.        DEFINED CONTRIBUTION PLAN</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 xml:space="preserve">TWFG Holding sponsors a Safe Harbor defined contribution plan (the “Plan”). The sponsor is part of a controlled group that includes both TWFG Insurance Services LLC (“TWFG-IS”) and TWFG General Agency LLC (“TWFG-GA”). The Plan allows employees who are age 21 or older and have completed 3 months of service to participate. </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 xml:space="preserve">Each year, participants may defer between 1% and 100% of eligible compensation, not to exceed the maximum dollar amount as allowed under Section 402(g) of the Internal Revenue Code. Effective January 1, 2008, the Plan was amended to allow the Company to meet the provisions of the regulations. The Plan provides a Company matching of 100% on the first 4% of eligible compensation that a participant contributes to the Plan. </w:t>
      </w:r>
    </w:p>
    <w:p>
      <w:pPr>
        <w:pStyle w:val="TextBody"/>
        <w:bidi w:val="0"/>
        <w:spacing w:lineRule="auto" w:line="288" w:before="0" w:after="160"/>
        <w:jc w:val="left"/>
        <w:rPr/>
      </w:pPr>
      <w:r>
        <w:rPr>
          <w:rFonts w:ascii="Frutiger LT 45 Light;sans-serif" w:hAnsi="Frutiger LT 45 Light;sans-serif"/>
          <w:b w:val="false"/>
          <w:color w:val="000000"/>
          <w:sz w:val="20"/>
        </w:rPr>
        <w:t>For the three and six months ended June 30, 2026, the Company recognized expenses related to the Plan of $0.2 million and $0.5 million</w:t>
      </w:r>
      <w:r>
        <w:rPr>
          <w:rFonts w:ascii="Frutiger LT 45 Light;sans-serif" w:hAnsi="Frutiger LT 45 Light;sans-serif"/>
          <w:b w:val="false"/>
          <w:color w:val="000000"/>
          <w:sz w:val="20"/>
          <w:shd w:fill="FFFFFF" w:val="clear"/>
        </w:rPr>
        <w:t xml:space="preserve">, respectively. For the three and six months ended </w:t>
      </w:r>
      <w:r>
        <w:rPr>
          <w:rFonts w:ascii="Frutiger LT 45 Light;sans-serif" w:hAnsi="Frutiger LT 45 Light;sans-serif"/>
          <w:b w:val="false"/>
          <w:color w:val="000000"/>
          <w:sz w:val="20"/>
        </w:rPr>
        <w:t>June 30, 2025, the Company recognized expenses related to the Plan of $0.2 million and $0.4 million</w:t>
      </w:r>
      <w:r>
        <w:rPr>
          <w:rFonts w:ascii="Frutiger LT 45 Light;sans-serif" w:hAnsi="Frutiger LT 45 Light;sans-serif"/>
          <w:b w:val="false"/>
          <w:color w:val="000000"/>
          <w:sz w:val="20"/>
          <w:shd w:fill="FFFFFF" w:val="clear"/>
        </w:rPr>
        <w:t>, respectively. The Company at its election may make discretionary profit share contributions. Contributions</w:t>
      </w:r>
      <w:r>
        <w:rPr>
          <w:color w:val="000000"/>
        </w:rPr>
        <w:t xml:space="preserve"> </w:t>
      </w:r>
      <w:r>
        <w:rPr>
          <w:rFonts w:ascii="Frutiger LT 45 Light;sans-serif" w:hAnsi="Frutiger LT 45 Light;sans-serif"/>
          <w:b w:val="false"/>
          <w:color w:val="000000"/>
          <w:sz w:val="20"/>
        </w:rPr>
        <w:t>are subject to certain limitations. For the three and six months ended June 30, 2026 and 2025, the Company elected not to make any additional discretionary contributions.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45 Light;sans-serif" w:hAnsi="Frutiger LT 45 Light;sans-serif"/>
          <w:b/>
          <w:color w:val="000000"/>
          <w:sz w:val="24"/>
          <w:shd w:fill="FFFFFF" w:val="clear"/>
        </w:rPr>
      </w:pPr>
      <w:r>
        <w:rPr>
          <w:rFonts w:ascii="Frutiger LT 45 Light;sans-serif" w:hAnsi="Frutiger LT 45 Light;sans-serif"/>
          <w:b/>
          <w:color w:val="000000"/>
          <w:sz w:val="24"/>
          <w:shd w:fill="FFFFFF" w:val="clear"/>
        </w:rPr>
        <w:t>12.        RELATED PARTY TRANSACTIONS</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 xml:space="preserve">The Company earned $4.1 million and $8.3 million, respectively, in commissions, $0.9 million and $1.8 million, respectively, in fee income, and $0.1 million and $0.3 million, respectively, in contingent income from The Woodlands Insurance Company (“TWICO”), a related party, during the three and six months ended June 30, 2026. For the three and six months ended June 30, 2025, the Company earned $2.8 million and $5.9 million, respectively, in commissions, $0.9 million and $1.7 million, respectively, in fee income, and none in contingent income from TWICO. These amounts are included in commission income and fee income in the Condensed Consolidated Statements of Income. </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On September 1, 2025, TWICO and TWFG-GA amended their managing general agency and claims administration agreement, which reflects an increase in the percentage of commissions paid to TWFG-GA from 20% to 25%, a profit sharing arrangement, and requires TWICO to reimburse TWFG-GA for actual expenses incurred or allocated by TWFG-GA for licensing, statistical accounting and management services performed by TWFG-GA. The transaction was approved by the Audit Committee of the Board pursuant to the Company’s Related Party Transaction Approval Policy and approved by the Texas Department of Insurance.</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 xml:space="preserve">The Company incurred $0.9 million and $1.7 million, respectively, in license fees net of administrative expenses during the three and six months ended June 30, 2026, under its software licensing agreement with Evolution Agency Management LLC (“EVO”), a related party. For the three and six months ended June 30, 2025,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7955"/>
                <wp:effectExtent l="0" t="0" r="0" b="0"/>
                <wp:wrapNone/>
                <wp:docPr id="23" name="Frame2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11</w:t>
                      </w:r>
                    </w:p>
                  </w:txbxContent>
                </v:textbox>
                <w10:wrap type="none"/>
              </v:rect>
            </w:pict>
          </mc:Fallback>
        </mc:AlternateContent>
      </w:r>
    </w:p>
    <w:p>
      <w:pPr>
        <w:pStyle w:val="TextBody"/>
        <w:bidi w:val="0"/>
        <w:spacing w:lineRule="auto" w:line="288" w:before="0" w:after="160"/>
        <w:jc w:val="left"/>
        <w:rPr/>
      </w:pPr>
      <w:hyperlink w:anchor="i54bb4eec0dab4063b7a5a162c0b6d974_7">
        <w:r>
          <w:rPr>
            <w:rStyle w:val="InternetLink"/>
          </w:rPr>
          <w:t xml:space="preserve">Table </w:t>
        </w:r>
      </w:hyperlink>
      <w:hyperlink w:anchor="i54bb4eec0dab4063b7a5a162c0b6d974_7">
        <w:r>
          <w:rPr>
            <w:rStyle w:val="InternetLink"/>
          </w:rPr>
          <w:t>of</w:t>
        </w:r>
      </w:hyperlink>
      <w:hyperlink w:anchor="i54bb4eec0dab4063b7a5a162c0b6d974_7">
        <w:r>
          <w:rPr>
            <w:rStyle w:val="InternetLink"/>
          </w:rPr>
          <w:t xml:space="preserve"> Contents</w:t>
        </w:r>
      </w:hyperlink>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 xml:space="preserve">Company incurred $0.8 million and $1.5 million, respectively, in license fees net of administrative expenses. These amounts are not eliminated and are included in Other Administrative Expenses in the Condensed Consolidated Statements of Income. </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On June 5, 2026, Bunch Family Holdings, LLC, the majority holder of the Company’s Class C voting shares, transferred 264,785 shares of Class C common stock to RFB Spousal Lifetime Trust, for which Richard F. Bunch III serves as Trustee, and 264,785 shares of Class C common stock to MCB Spousal Lifetime Trust, for which Michelle C. Bunch serves as Trustee. In connection with these transfers, each transferee became a party to the Tax Receivable Agreement, dated July 17, 2024.</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There were no other material changes in related party transactions from those disclosed in the Company’s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45 Light;sans-serif" w:hAnsi="Frutiger LT 45 Light;sans-serif"/>
          <w:b/>
          <w:color w:val="000000"/>
          <w:sz w:val="24"/>
          <w:shd w:fill="FFFFFF" w:val="clear"/>
        </w:rPr>
      </w:pPr>
      <w:r>
        <w:rPr>
          <w:rFonts w:ascii="Frutiger LT 45 Light;sans-serif" w:hAnsi="Frutiger LT 45 Light;sans-serif"/>
          <w:b/>
          <w:color w:val="000000"/>
          <w:sz w:val="24"/>
          <w:shd w:fill="FFFFFF" w:val="clear"/>
        </w:rPr>
        <w:t>13.        EARNINGS PER SHARE</w:t>
      </w:r>
    </w:p>
    <w:p>
      <w:pPr>
        <w:pStyle w:val="TextBody"/>
        <w:bidi w:val="0"/>
        <w:spacing w:lineRule="auto" w:line="288" w:before="0" w:after="160"/>
        <w:jc w:val="left"/>
        <w:rPr/>
      </w:pPr>
      <w:r>
        <w:rPr>
          <w:rFonts w:ascii="Frutiger LT 45 Light;sans-serif" w:hAnsi="Frutiger LT 45 Light;sans-serif"/>
          <w:b w:val="false"/>
          <w:color w:val="000000"/>
          <w:sz w:val="20"/>
          <w:shd w:fill="FFFFFF" w:val="clear"/>
        </w:rPr>
        <w:t xml:space="preserve">For the </w:t>
      </w:r>
      <w:r>
        <w:rPr>
          <w:rFonts w:ascii="Frutiger LT 45 Light;sans-serif" w:hAnsi="Frutiger LT 45 Light;sans-serif"/>
          <w:b w:val="false"/>
          <w:color w:val="000000"/>
          <w:sz w:val="20"/>
        </w:rPr>
        <w:t>three and six</w:t>
      </w:r>
      <w:r>
        <w:rPr>
          <w:color w:val="000000"/>
          <w:shd w:fill="FFFFFF" w:val="clear"/>
        </w:rPr>
        <w:t xml:space="preserve"> </w:t>
      </w:r>
      <w:r>
        <w:rPr>
          <w:rFonts w:ascii="Frutiger LT 45 Light;sans-serif" w:hAnsi="Frutiger LT 45 Light;sans-serif"/>
          <w:b w:val="false"/>
          <w:color w:val="000000"/>
          <w:sz w:val="20"/>
          <w:shd w:fill="FFFFFF" w:val="clear"/>
        </w:rPr>
        <w:t xml:space="preserve">months ended </w:t>
      </w:r>
      <w:r>
        <w:rPr>
          <w:rFonts w:ascii="Frutiger LT 45 Light;sans-serif" w:hAnsi="Frutiger LT 45 Light;sans-serif"/>
          <w:b w:val="false"/>
          <w:color w:val="000000"/>
          <w:sz w:val="20"/>
        </w:rPr>
        <w:t>June 30, 2026 and June 30, 2025</w:t>
      </w:r>
      <w:r>
        <w:rPr>
          <w:rFonts w:ascii="Frutiger LT 45 Light;sans-serif" w:hAnsi="Frutiger LT 45 Light;sans-serif"/>
          <w:b w:val="false"/>
          <w:color w:val="000000"/>
          <w:sz w:val="20"/>
          <w:shd w:fill="FFFFFF" w:val="clear"/>
        </w:rPr>
        <w:t>,</w:t>
      </w:r>
      <w:r>
        <w:rPr>
          <w:color w:val="000000"/>
        </w:rPr>
        <w:t xml:space="preserve"> </w:t>
      </w:r>
      <w:r>
        <w:rPr>
          <w:rFonts w:ascii="Frutiger LT 45 Light;sans-serif" w:hAnsi="Frutiger LT 45 Light;sans-serif"/>
          <w:b w:val="false"/>
          <w:color w:val="000000"/>
          <w:sz w:val="20"/>
        </w:rPr>
        <w:t>basic earnings per share was calculated by dividing net earnings attributable to Class A common stockholder</w:t>
      </w:r>
      <w:r>
        <w:rPr>
          <w:rFonts w:ascii="Frutiger LT 45 Light;sans-serif" w:hAnsi="Frutiger LT 45 Light;sans-serif"/>
          <w:b w:val="false"/>
          <w:color w:val="000000"/>
          <w:sz w:val="20"/>
          <w:shd w:fill="FFFFFF" w:val="clear"/>
        </w:rPr>
        <w:t>s by</w:t>
      </w:r>
      <w:r>
        <w:rPr>
          <w:color w:val="000000"/>
        </w:rPr>
        <w:t xml:space="preserve"> </w:t>
      </w:r>
      <w:r>
        <w:rPr>
          <w:rFonts w:ascii="Frutiger LT 45 Light;sans-serif" w:hAnsi="Frutiger LT 45 Light;sans-serif"/>
          <w:b w:val="false"/>
          <w:color w:val="000000"/>
          <w:sz w:val="20"/>
        </w:rPr>
        <w:t>the weighted average number of shares of Class A Common Stock outstanding for the same period. Shares of Class A Common Stock are weighted for the portion of the period in which the shares were outstanding. Diluted earnings per share was calculated in a manner consistent with that of basic earnings per share while considering all potentially dilutive shares of Class A Common Stock outstanding during the periods.</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The following tables set forth the computation of basic and diluted earnings per share for the three and six months ended June 30, 2026 and 2025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394"/>
        <w:gridCol w:w="1197"/>
        <w:gridCol w:w="1203"/>
        <w:gridCol w:w="275"/>
        <w:gridCol w:w="806"/>
        <w:gridCol w:w="131"/>
        <w:gridCol w:w="131"/>
        <w:gridCol w:w="131"/>
        <w:gridCol w:w="131"/>
        <w:gridCol w:w="275"/>
        <w:gridCol w:w="806"/>
        <w:gridCol w:w="131"/>
        <w:gridCol w:w="109"/>
        <w:gridCol w:w="109"/>
        <w:gridCol w:w="109"/>
        <w:gridCol w:w="275"/>
        <w:gridCol w:w="806"/>
        <w:gridCol w:w="123"/>
        <w:gridCol w:w="123"/>
        <w:gridCol w:w="123"/>
        <w:gridCol w:w="123"/>
        <w:gridCol w:w="275"/>
        <w:gridCol w:w="806"/>
        <w:gridCol w:w="123"/>
        <w:gridCol w:w="109"/>
        <w:gridCol w:w="109"/>
        <w:gridCol w:w="109"/>
        <w:gridCol w:w="163"/>
      </w:tblGrid>
      <w:tr>
        <w:trPr/>
        <w:tc>
          <w:tcPr>
            <w:tcW w:w="139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Three Months Ended June 30,</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Numerator:</w:t>
            </w:r>
          </w:p>
        </w:tc>
        <w:tc>
          <w:tcPr>
            <w:tcW w:w="12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Net income attributable to TWFG, Inc. (basic)</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2,371 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1,957 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4,128 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3,295 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Plus: Income attributed to dilutive shares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5,380 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Net income attributable to common stockholders (diluted)</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2,371 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7,337 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4,128 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3,327 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Denominator:</w:t>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Weighted average common stock outstanding (basic)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13,096,390 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14,904,083 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14,001,518 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14,896,951 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Effect of potentially dilutive securities:</w:t>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RSUs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198,977 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182,396 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PSUs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4,348 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4,348 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Class B Voting Stock</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7,277,651 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Class C Voting Stock</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33,893,810 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Weighted average common stock outstanding (diluted)</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13,096,390 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56,278,869 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14,001,518 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15,083,695 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Earnings per share</w:t>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Basic</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0.18 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0.13 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0.29 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0.22 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Diluted</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0.18 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0.13 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0.29 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0.22 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tbl>
      <w:tblPr>
        <w:tblW w:w="13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Diluted earnings per share attributable to common stockholders adjusts the basic earnings per share attributable to common stockholders and the weighted average number of shares of common stock outstanding for the potential dilutive impact of potential common stock. Pursuant to the Reorganization Transactions, Class B Voting Stock and Class C Voting Stock are considered in the calculation of dilutive earnings per share on an if-converted basis as these classes of stock, together with the related LLC Units, have exchange rights into Class A Common Stock that could result in additional Class A Common Stock being issued. Net income attributable to the noncontrolling interests would be added back to net income in the fully dilutive computation and adjusted for income taxes which would have been expensed had the income been recognized by the Company, a taxable entity. All other potentially dilutive securities (such as unvested RSUs and PSUs) are determined based on the treasury stock method.</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The Company excluded the following potential shares, presented based on amounts outstanding at each period end, from the computation of diluted weighted average shares outstanding for the periods indicated because including them would have had an antidilutive effect: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7955"/>
                <wp:effectExtent l="0" t="0" r="0" b="0"/>
                <wp:wrapNone/>
                <wp:docPr id="24" name="Frame2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12</w:t>
                      </w:r>
                    </w:p>
                  </w:txbxContent>
                </v:textbox>
                <w10:wrap type="none"/>
              </v:rect>
            </w:pict>
          </mc:Fallback>
        </mc:AlternateContent>
      </w:r>
    </w:p>
    <w:p>
      <w:pPr>
        <w:pStyle w:val="TextBody"/>
        <w:bidi w:val="0"/>
        <w:spacing w:lineRule="auto" w:line="288" w:before="0" w:after="160"/>
        <w:jc w:val="left"/>
        <w:rPr/>
      </w:pPr>
      <w:hyperlink w:anchor="i54bb4eec0dab4063b7a5a162c0b6d974_7">
        <w:r>
          <w:rPr>
            <w:rStyle w:val="InternetLink"/>
          </w:rPr>
          <w:t xml:space="preserve">Table </w:t>
        </w:r>
      </w:hyperlink>
      <w:hyperlink w:anchor="i54bb4eec0dab4063b7a5a162c0b6d974_7">
        <w:r>
          <w:rPr>
            <w:rStyle w:val="InternetLink"/>
          </w:rPr>
          <w:t>of</w:t>
        </w:r>
      </w:hyperlink>
      <w:hyperlink w:anchor="i54bb4eec0dab4063b7a5a162c0b6d974_7">
        <w:r>
          <w:rPr>
            <w:rStyle w:val="InternetLink"/>
          </w:rPr>
          <w:t xml:space="preserve"> Contents</w:t>
        </w:r>
      </w:hyperlink>
    </w:p>
    <w:tbl>
      <w:tblPr>
        <w:tblW w:w="9546" w:type="dxa"/>
        <w:jc w:val="left"/>
        <w:tblInd w:w="0" w:type="dxa"/>
        <w:tblLayout w:type="fixed"/>
        <w:tblCellMar>
          <w:top w:w="28" w:type="dxa"/>
          <w:left w:w="28" w:type="dxa"/>
          <w:bottom w:w="28" w:type="dxa"/>
          <w:right w:w="28" w:type="dxa"/>
        </w:tblCellMar>
      </w:tblPr>
      <w:tblGrid>
        <w:gridCol w:w="653"/>
        <w:gridCol w:w="576"/>
        <w:gridCol w:w="585"/>
        <w:gridCol w:w="718"/>
        <w:gridCol w:w="363"/>
        <w:gridCol w:w="318"/>
        <w:gridCol w:w="318"/>
        <w:gridCol w:w="318"/>
        <w:gridCol w:w="318"/>
        <w:gridCol w:w="318"/>
        <w:gridCol w:w="318"/>
        <w:gridCol w:w="318"/>
        <w:gridCol w:w="109"/>
        <w:gridCol w:w="109"/>
        <w:gridCol w:w="109"/>
        <w:gridCol w:w="657"/>
        <w:gridCol w:w="424"/>
        <w:gridCol w:w="291"/>
        <w:gridCol w:w="291"/>
        <w:gridCol w:w="291"/>
        <w:gridCol w:w="291"/>
        <w:gridCol w:w="659"/>
        <w:gridCol w:w="422"/>
        <w:gridCol w:w="291"/>
        <w:gridCol w:w="109"/>
        <w:gridCol w:w="109"/>
        <w:gridCol w:w="109"/>
        <w:gridCol w:w="154"/>
      </w:tblGrid>
      <w:tr>
        <w:trPr/>
        <w:tc>
          <w:tcPr>
            <w:tcW w:w="65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7" w:type="dxa"/>
            <w:gridSpan w:val="9"/>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Three Months Ended June 30,</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7" w:type="dxa"/>
            <w:gridSpan w:val="9"/>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2026</w:t>
            </w:r>
          </w:p>
        </w:tc>
        <w:tc>
          <w:tcPr>
            <w:tcW w:w="9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2026</w:t>
            </w:r>
          </w:p>
        </w:tc>
        <w:tc>
          <w:tcPr>
            <w:tcW w:w="8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RSUs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128,661 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115,272 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PSUs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10,152 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5,474 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Class B Voting Stock</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7,277,651 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7,277,651 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7,277,651 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Class C Voting Stock</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33,893,810 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33,893,810 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33,893,810 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41,310,274 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41,292,207 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41,171,461 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45 Light;sans-serif" w:hAnsi="Frutiger LT 45 Light;sans-serif"/>
          <w:b/>
          <w:color w:val="000000"/>
          <w:sz w:val="24"/>
        </w:rPr>
      </w:pPr>
      <w:r>
        <w:rPr>
          <w:rFonts w:ascii="Frutiger LT 45 Light;sans-serif" w:hAnsi="Frutiger LT 45 Light;sans-serif"/>
          <w:b/>
          <w:color w:val="000000"/>
          <w:sz w:val="24"/>
        </w:rPr>
        <w:t>14.        LITIGATION AND CONTINGENCIES</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The Company may be involved in various legal proceedings and subject to claims that arise in the ordinary course of business. Although the results and claims are inherently unpredictable and uncertain, the Company is not presently a party to any litigation the outcome of which, the Company believes, if determined adversely to it, would individually or taken together have a material adverse effect on the Company’s business, operating results, cash flows or financial condition.</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 xml:space="preserve">The Company records liabilities for loss contingencies when it is probable that a liability has been incurred and the amount is reasonably estimable. The Company does not discount such contingent liabilities and recognizes incremental costs related to the contingencies when incurred.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45 Light;sans-serif" w:hAnsi="Frutiger LT 45 Light;sans-serif"/>
          <w:b/>
          <w:color w:val="000000"/>
          <w:sz w:val="24"/>
        </w:rPr>
      </w:pPr>
      <w:r>
        <w:rPr>
          <w:rFonts w:ascii="Frutiger LT 45 Light;sans-serif" w:hAnsi="Frutiger LT 45 Light;sans-serif"/>
          <w:b/>
          <w:color w:val="000000"/>
          <w:sz w:val="24"/>
        </w:rPr>
        <w:t>15.     SEGMENT</w:t>
      </w:r>
    </w:p>
    <w:p>
      <w:pPr>
        <w:pStyle w:val="TextBody"/>
        <w:bidi w:val="0"/>
        <w:spacing w:lineRule="auto" w:line="288" w:before="0" w:after="160"/>
        <w:jc w:val="left"/>
        <w:rPr/>
      </w:pPr>
      <w:r>
        <w:rPr>
          <w:rFonts w:ascii="Frutiger LT 45 Light;sans-serif" w:hAnsi="Frutiger LT 45 Light;sans-serif"/>
          <w:b w:val="false"/>
          <w:color w:val="000000"/>
          <w:sz w:val="20"/>
        </w:rPr>
        <w:t xml:space="preserve">The Company has one operating segment and therefore one reportable segment relating to its business as an independent distribution platform for personal and commercial insurance in the United States. All business activities and operations are reported in the one reportable segment, which applies accounting policies consistent with the consolidated entity. The Company’s Chief Operating Decision Maker (“CODM”), the Chief Executive Officer, manages the Company’s operations on a consolidated basis as one operating segment for the purpose of evaluating financial performance and allocating resources. See </w:t>
      </w:r>
      <w:r>
        <w:rPr>
          <w:rFonts w:ascii="Frutiger LT 45 Light;sans-serif" w:hAnsi="Frutiger LT 45 Light;sans-serif"/>
          <w:b w:val="false"/>
          <w:i/>
          <w:color w:val="000000"/>
          <w:sz w:val="20"/>
        </w:rPr>
        <w:t>Note 3 Revenue</w:t>
      </w:r>
      <w:r>
        <w:rPr>
          <w:color w:val="000000"/>
        </w:rPr>
        <w:t xml:space="preserve"> </w:t>
      </w:r>
      <w:r>
        <w:rPr>
          <w:rFonts w:ascii="Frutiger LT 45 Light;sans-serif" w:hAnsi="Frutiger LT 45 Light;sans-serif"/>
          <w:b w:val="false"/>
          <w:color w:val="000000"/>
          <w:sz w:val="20"/>
        </w:rPr>
        <w:t xml:space="preserve">for products and major customers on an entity wide basis. </w:t>
      </w:r>
    </w:p>
    <w:p>
      <w:pPr>
        <w:pStyle w:val="TextBody"/>
        <w:bidi w:val="0"/>
        <w:spacing w:lineRule="auto" w:line="288" w:before="0" w:after="160"/>
        <w:jc w:val="left"/>
        <w:rPr/>
      </w:pPr>
      <w:r>
        <w:rPr>
          <w:rFonts w:ascii="Frutiger LT 45 Light;sans-serif" w:hAnsi="Frutiger LT 45 Light;sans-serif"/>
          <w:b w:val="false"/>
          <w:color w:val="000000"/>
          <w:sz w:val="20"/>
        </w:rPr>
        <w:t xml:space="preserve">The segment derives its revenues primarily from the placement of insurance contracts between insurance carriers and insureds. The CODM assesses the financial performance of the segment and decides how to allocate resources based on net income on a consolidated basis. The measure of segment assets is reported on the Condensed Consolidated Balance Sheets as total consolidated assets. See </w:t>
      </w:r>
      <w:r>
        <w:rPr>
          <w:rFonts w:ascii="Frutiger LT 45 Light;sans-serif" w:hAnsi="Frutiger LT 45 Light;sans-serif"/>
          <w:b w:val="false"/>
          <w:i/>
          <w:color w:val="000000"/>
          <w:sz w:val="20"/>
        </w:rPr>
        <w:t>Note 4 Intangibles, Acquisitions, and Disposals</w:t>
      </w:r>
      <w:r>
        <w:rPr>
          <w:color w:val="000000"/>
        </w:rPr>
        <w:t xml:space="preserve"> </w:t>
      </w:r>
      <w:r>
        <w:rPr>
          <w:rFonts w:ascii="Frutiger LT 45 Light;sans-serif" w:hAnsi="Frutiger LT 45 Light;sans-serif"/>
          <w:b w:val="false"/>
          <w:color w:val="000000"/>
          <w:sz w:val="20"/>
        </w:rPr>
        <w:t xml:space="preserve">for capital expenditures on an entity wide basis. </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The CODM uses net income predominantly in the annual operating budget and in the strategic planning and forecasting process. Such profit measure is used to monitor budget versus actual results on an ongoing basis by the CODM and determine how resources are allocated to the various activities of the Company. The CODM also uses net income to evaluate the Company’s performance and assist in determination of management’s incentive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7955"/>
                <wp:effectExtent l="0" t="0" r="0" b="0"/>
                <wp:wrapNone/>
                <wp:docPr id="25" name="Frame2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13</w:t>
                      </w:r>
                    </w:p>
                  </w:txbxContent>
                </v:textbox>
                <w10:wrap type="none"/>
              </v:rect>
            </w:pict>
          </mc:Fallback>
        </mc:AlternateContent>
      </w:r>
    </w:p>
    <w:p>
      <w:pPr>
        <w:pStyle w:val="TextBody"/>
        <w:bidi w:val="0"/>
        <w:spacing w:lineRule="auto" w:line="288" w:before="0" w:after="160"/>
        <w:jc w:val="left"/>
        <w:rPr/>
      </w:pPr>
      <w:hyperlink w:anchor="i54bb4eec0dab4063b7a5a162c0b6d974_7">
        <w:r>
          <w:rPr>
            <w:rStyle w:val="InternetLink"/>
          </w:rPr>
          <w:t xml:space="preserve">Table </w:t>
        </w:r>
      </w:hyperlink>
      <w:hyperlink w:anchor="i54bb4eec0dab4063b7a5a162c0b6d974_7">
        <w:r>
          <w:rPr>
            <w:rStyle w:val="InternetLink"/>
          </w:rPr>
          <w:t>of</w:t>
        </w:r>
      </w:hyperlink>
      <w:hyperlink w:anchor="i54bb4eec0dab4063b7a5a162c0b6d974_7">
        <w:r>
          <w:rPr>
            <w:rStyle w:val="InternetLink"/>
          </w:rPr>
          <w:t xml:space="preserve"> Contents</w:t>
        </w:r>
      </w:hyperlink>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 xml:space="preserve">The following table provides a summary of the segment revenue, segment profit or loss, and significant segment expenses (in thousands): </w:t>
      </w:r>
    </w:p>
    <w:tbl>
      <w:tblPr>
        <w:tblW w:w="10027" w:type="dxa"/>
        <w:jc w:val="left"/>
        <w:tblInd w:w="0" w:type="dxa"/>
        <w:tblLayout w:type="fixed"/>
        <w:tblCellMar>
          <w:top w:w="28" w:type="dxa"/>
          <w:left w:w="28" w:type="dxa"/>
          <w:bottom w:w="28" w:type="dxa"/>
          <w:right w:w="28" w:type="dxa"/>
        </w:tblCellMar>
      </w:tblPr>
      <w:tblGrid>
        <w:gridCol w:w="1352"/>
        <w:gridCol w:w="1190"/>
        <w:gridCol w:w="1193"/>
        <w:gridCol w:w="251"/>
        <w:gridCol w:w="857"/>
        <w:gridCol w:w="129"/>
        <w:gridCol w:w="129"/>
        <w:gridCol w:w="129"/>
        <w:gridCol w:w="129"/>
        <w:gridCol w:w="251"/>
        <w:gridCol w:w="857"/>
        <w:gridCol w:w="129"/>
        <w:gridCol w:w="109"/>
        <w:gridCol w:w="109"/>
        <w:gridCol w:w="109"/>
        <w:gridCol w:w="211"/>
        <w:gridCol w:w="828"/>
        <w:gridCol w:w="109"/>
        <w:gridCol w:w="109"/>
        <w:gridCol w:w="109"/>
        <w:gridCol w:w="109"/>
        <w:gridCol w:w="211"/>
        <w:gridCol w:w="828"/>
        <w:gridCol w:w="109"/>
        <w:gridCol w:w="109"/>
        <w:gridCol w:w="109"/>
        <w:gridCol w:w="109"/>
        <w:gridCol w:w="154"/>
      </w:tblGrid>
      <w:tr>
        <w:trPr/>
        <w:tc>
          <w:tcPr>
            <w:tcW w:w="1352"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6"/>
              </w:rPr>
            </w:pPr>
            <w:r>
              <w:rPr>
                <w:rFonts w:ascii="Frutiger LT 45 Light;sans-serif" w:hAnsi="Frutiger LT 45 Light;sans-serif"/>
                <w:b/>
                <w:color w:val="000000"/>
                <w:sz w:val="16"/>
              </w:rPr>
              <w:t>Total revenues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87,511 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60,308 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160,352 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114,131 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6"/>
              </w:rPr>
            </w:pPr>
            <w:r>
              <w:rPr>
                <w:rFonts w:ascii="Frutiger LT 45 Light;sans-serif" w:hAnsi="Frutiger LT 45 Light;sans-serif"/>
                <w:b/>
                <w:color w:val="000000"/>
                <w:sz w:val="16"/>
              </w:rPr>
              <w:t>Less:</w:t>
            </w:r>
          </w:p>
        </w:tc>
        <w:tc>
          <w:tcPr>
            <w:tcW w:w="12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Commission expense</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42,491 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34,151 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79,521 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65,965 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Salaries and employee benefits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11,781 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9,493 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21,682 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17,689 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Technology expense</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1,773 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1,460 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Consultant and other professional fees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1,881 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956 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Depreciation and amortization</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7,065 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3,901 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13,234 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Frutiger LT 45 Light;sans-serif" w:hAnsi="Frutiger LT 45 Light;sans-serif"/>
                <w:b w:val="false"/>
                <w:color w:val="000000"/>
                <w:sz w:val="16"/>
              </w:rPr>
              <w:t xml:space="preserve">Other segment items </w:t>
            </w:r>
            <w:r>
              <w:rPr>
                <w:rFonts w:ascii="Frutiger LT 45 Light;sans-serif" w:hAnsi="Frutiger LT 45 Light;sans-serif"/>
                <w:b w:val="false"/>
                <w:color w:val="000000"/>
                <w:sz w:val="10"/>
              </w:rPr>
              <w:t>(1)</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4,933 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2,984 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9,190 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Interest expense</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Interest income</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(759)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(1,751)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(1,973)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Income tax expense</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1,031 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620 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Other non-operating (income) expense, net</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(574)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6"/>
              </w:rPr>
            </w:pPr>
            <w:r>
              <w:rPr>
                <w:rFonts w:ascii="Frutiger LT 45 Light;sans-serif" w:hAnsi="Frutiger LT 45 Light;sans-serif"/>
                <w:b/>
                <w:color w:val="000000"/>
                <w:sz w:val="16"/>
              </w:rPr>
              <w:t>Segment and consolidated net income</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17,251 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9,000 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30,330 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15,853 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Frutiger LT 55 Roman;sans-serif" w:hAnsi="Frutiger LT 55 Roman;sans-serif"/>
          <w:b w:val="false"/>
          <w:color w:val="000000"/>
          <w:sz w:val="15"/>
        </w:rPr>
      </w:pPr>
      <w:r>
        <w:rPr>
          <w:rFonts w:ascii="Frutiger LT 55 Roman;sans-serif" w:hAnsi="Frutiger LT 55 Roman;sans-serif"/>
          <w:b w:val="false"/>
          <w:color w:val="000000"/>
          <w:sz w:val="15"/>
        </w:rPr>
        <w:t>(1)    Other segment items included in segment net income include marketing expenses, survey expenses, office expenses, and certain administrative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45 Light;sans-serif" w:hAnsi="Frutiger LT 45 Light;sans-serif"/>
          <w:b/>
          <w:color w:val="000000"/>
          <w:sz w:val="24"/>
        </w:rPr>
      </w:pPr>
      <w:r>
        <w:rPr>
          <w:rFonts w:ascii="Frutiger LT 45 Light;sans-serif" w:hAnsi="Frutiger LT 45 Light;sans-serif"/>
          <w:b/>
          <w:color w:val="000000"/>
          <w:sz w:val="24"/>
        </w:rPr>
        <w:t>16.        SUBSEQUENT EVENTS</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Subsequent to the quarter ended June 30, 2026, the Company completed acquisitions in support of its ongoing growth strategy.</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The Company has evaluated subsequent events through August 6, 2026, the issuance date, and determined that no events have occurred that require disclosure other than the events listed above.</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7955"/>
                <wp:effectExtent l="0" t="0" r="0" b="0"/>
                <wp:wrapNone/>
                <wp:docPr id="26" name="Frame2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14</w:t>
                      </w:r>
                    </w:p>
                  </w:txbxContent>
                </v:textbox>
                <w10:wrap type="none"/>
              </v:rect>
            </w:pict>
          </mc:Fallback>
        </mc:AlternateContent>
      </w:r>
    </w:p>
    <w:p>
      <w:pPr>
        <w:pStyle w:val="TextBody"/>
        <w:bidi w:val="0"/>
        <w:spacing w:lineRule="auto" w:line="288" w:before="0" w:after="160"/>
        <w:jc w:val="left"/>
        <w:rPr/>
      </w:pPr>
      <w:hyperlink w:anchor="i54bb4eec0dab4063b7a5a162c0b6d974_7">
        <w:r>
          <w:rPr>
            <w:rStyle w:val="InternetLink"/>
          </w:rPr>
          <w:t xml:space="preserve">Table </w:t>
        </w:r>
      </w:hyperlink>
      <w:hyperlink w:anchor="i54bb4eec0dab4063b7a5a162c0b6d974_7">
        <w:r>
          <w:rPr>
            <w:rStyle w:val="InternetLink"/>
          </w:rPr>
          <w:t>of</w:t>
        </w:r>
      </w:hyperlink>
      <w:hyperlink w:anchor="i54bb4eec0dab4063b7a5a162c0b6d974_7">
        <w:r>
          <w:rPr>
            <w:rStyle w:val="InternetLink"/>
          </w:rPr>
          <w:t xml:space="preserve"> Contents</w:t>
        </w:r>
      </w:hyperlink>
    </w:p>
    <w:p>
      <w:pPr>
        <w:pStyle w:val="TextBody"/>
        <w:bidi w:val="0"/>
        <w:spacing w:lineRule="auto" w:line="288" w:before="0" w:after="320"/>
        <w:jc w:val="center"/>
        <w:rPr>
          <w:rFonts w:ascii="Frutiger LT 45 Light;sans-serif" w:hAnsi="Frutiger LT 45 Light;sans-serif"/>
          <w:b/>
          <w:color w:val="000000"/>
          <w:sz w:val="32"/>
        </w:rPr>
      </w:pPr>
      <w:r>
        <w:rPr>
          <w:rFonts w:ascii="Frutiger LT 45 Light;sans-serif" w:hAnsi="Frutiger LT 45 Light;sans-serif"/>
          <w:b/>
          <w:color w:val="000000"/>
          <w:sz w:val="32"/>
        </w:rPr>
        <w:t>Item 2. Management's Discussion and Analysis of Financial Condition and Results of Operations</w:t>
      </w:r>
    </w:p>
    <w:p>
      <w:pPr>
        <w:pStyle w:val="TextBody"/>
        <w:bidi w:val="0"/>
        <w:spacing w:lineRule="auto" w:line="288" w:before="0" w:after="160"/>
        <w:jc w:val="left"/>
        <w:rPr>
          <w:rFonts w:ascii="Frutiger LT 45 Light;sans-serif" w:hAnsi="Frutiger LT 45 Light;sans-serif"/>
          <w:b w:val="false"/>
          <w:i/>
          <w:color w:val="000000"/>
          <w:sz w:val="20"/>
        </w:rPr>
      </w:pPr>
      <w:r>
        <w:rPr>
          <w:rFonts w:ascii="Frutiger LT 45 Light;sans-serif" w:hAnsi="Frutiger LT 45 Light;sans-serif"/>
          <w:b w:val="false"/>
          <w:i/>
          <w:color w:val="000000"/>
          <w:sz w:val="20"/>
        </w:rPr>
        <w:t>The following discussion and analysis of our financial condition and results of operations should be read in conjunction with our unaudited Condensed Consolidated Financial Statements and the related notes and other financial information included elsewhere in this Quarterly Report.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below and in the Annual Report, particularly in the section Part I, Item 1A. Risk Factors and in “Cautionary Note Regarding Forward-Looking Statements” in this Quarterly Report.</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The following discussion contains commentary on the financial results derived from the unaudited Condensed Consolidated Financial Statements for the three and six months ended June 30, 2026 and June 30, 2025 of TWFG,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45 Light;sans-serif" w:hAnsi="Frutiger LT 45 Light;sans-serif"/>
          <w:b/>
          <w:color w:val="000000"/>
          <w:sz w:val="24"/>
        </w:rPr>
      </w:pPr>
      <w:r>
        <w:rPr>
          <w:rFonts w:ascii="Frutiger LT 45 Light;sans-serif" w:hAnsi="Frutiger LT 45 Light;sans-serif"/>
          <w:b/>
          <w:color w:val="000000"/>
          <w:sz w:val="24"/>
        </w:rPr>
        <w:t>Overview</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We are a leading, high-growth, independent distribution platform for personal and commercial insurance in the United States. We are pioneers in the insurance industry, developing an agency model built on innovation and experience with what we believe is a more flexible approach than traditional distribution models. Our offerings are fulsome and flexible in that we offer all lines of insurance, multiple distribution contract options, M&amp;A services, proprietary virtual assistants, proprietary technology, proprietary premium financing, unlimited continuing education, recognition programs, co-op funding, marketing support and overall lower costs to operate. Since our founding in 2001 by our Chief Executive Officer, Richard F. (“Gordy”) Bunch III, we have established a track record of creating solutions for independent agents, insurance carriers and our Clients, with sustainable growth regardless of economic and P&amp;C pricing cycles.</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We embrace a simple philosophy: “Our Policy is Caring,” which is more than a motto. This philosophy informs the way we interact with all of our stakeholders and the communities in which they live and work. We seek to attract partners who come in every day with the commitment to making a difference in the lives of the people and communities we interact with. We treat our Clients, employees and stakeholders like family.</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45 Light;sans-serif" w:hAnsi="Frutiger LT 45 Light;sans-serif"/>
          <w:b/>
          <w:color w:val="000000"/>
          <w:sz w:val="24"/>
        </w:rPr>
      </w:pPr>
      <w:r>
        <w:rPr>
          <w:rFonts w:ascii="Frutiger LT 45 Light;sans-serif" w:hAnsi="Frutiger LT 45 Light;sans-serif"/>
          <w:b/>
          <w:color w:val="000000"/>
          <w:sz w:val="24"/>
        </w:rPr>
        <w:t>Certain income statement line items</w:t>
      </w:r>
    </w:p>
    <w:p>
      <w:pPr>
        <w:pStyle w:val="TextBody"/>
        <w:bidi w:val="0"/>
        <w:spacing w:lineRule="auto" w:line="288" w:before="0" w:after="160"/>
        <w:jc w:val="left"/>
        <w:rPr>
          <w:rFonts w:ascii="Frutiger LT 45 Light;sans-serif" w:hAnsi="Frutiger LT 45 Light;sans-serif"/>
          <w:b/>
          <w:i/>
          <w:color w:val="000000"/>
          <w:sz w:val="20"/>
        </w:rPr>
      </w:pPr>
      <w:r>
        <w:rPr>
          <w:rFonts w:ascii="Frutiger LT 45 Light;sans-serif" w:hAnsi="Frutiger LT 45 Light;sans-serif"/>
          <w:b/>
          <w:i/>
          <w:color w:val="000000"/>
          <w:sz w:val="20"/>
        </w:rPr>
        <w:t>Revenues</w:t>
      </w:r>
    </w:p>
    <w:p>
      <w:pPr>
        <w:pStyle w:val="TextBody"/>
        <w:bidi w:val="0"/>
        <w:spacing w:lineRule="auto" w:line="288" w:before="0" w:after="160"/>
        <w:jc w:val="left"/>
        <w:rPr/>
      </w:pPr>
      <w:r>
        <w:rPr>
          <w:rFonts w:ascii="Frutiger LT 45 Light;sans-serif" w:hAnsi="Frutiger LT 45 Light;sans-serif"/>
          <w:b w:val="false"/>
          <w:i/>
          <w:color w:val="000000"/>
          <w:sz w:val="20"/>
        </w:rPr>
        <w:t>Commission income.</w:t>
      </w:r>
      <w:r>
        <w:rPr>
          <w:color w:val="000000"/>
        </w:rPr>
        <w:t xml:space="preserve"> </w:t>
      </w:r>
      <w:r>
        <w:rPr>
          <w:rFonts w:ascii="Frutiger LT 45 Light;sans-serif" w:hAnsi="Frutiger LT 45 Light;sans-serif"/>
          <w:b w:val="false"/>
          <w:color w:val="000000"/>
          <w:sz w:val="20"/>
        </w:rPr>
        <w:t>We derive commission income from the placement of insurance contracts between insurance carriers and Clients. Our commissions are established by the agency agreement between the Company and the insurance carrier and are calculated as a percentage of premiums for the underlying insurance contract. Commission rates vary across insurance carriers, states and lines of business and typically rang</w:t>
      </w:r>
      <w:r>
        <w:rPr>
          <w:rFonts w:ascii="Frutiger LT 45 Light;sans-serif" w:hAnsi="Frutiger LT 45 Light;sans-serif"/>
          <w:b w:val="false"/>
          <w:color w:val="000000"/>
          <w:sz w:val="20"/>
          <w:shd w:fill="FFFFFF" w:val="clear"/>
        </w:rPr>
        <w:t xml:space="preserve">e from 7% to 30%. </w:t>
      </w:r>
      <w:r>
        <w:rPr>
          <w:rFonts w:ascii="Frutiger LT 45 Light;sans-serif" w:hAnsi="Frutiger LT 45 Light;sans-serif"/>
          <w:b w:val="false"/>
          <w:color w:val="000000"/>
          <w:sz w:val="20"/>
        </w:rPr>
        <w:t xml:space="preserve">On a consolidated basis, our average commission rate for 2025 was approximately 12.8%. </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Our main obligation under our agency agreements with the insurance carriers is selling insurance contracts to our Clients. Each underlying insurance contract is a separate and distinct contract between the Client and the insurance carrier. Our Clients are not obligated to keep the insurance contract for the full term or renew it with the insurance carrier beyond its initial term. We are required to try to resell the insurance contract to our Client at the expiration of each policy term or shop for alternatives if our Client decides to terminate its existing insurance contract. We recognize commission income when the performance obligation of placing the insurance contract between our Client and the insurance carrier has been met and the insurance contract is in effect, based on its effective date.</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Our agency agreements with the insurance carriers are non-exclusive and can typically be terminated unilaterally by either party. Additionally, either party can agree to amend the provisions of the agency agreements, which may affect our future commission income.</w:t>
      </w:r>
    </w:p>
    <w:p>
      <w:pPr>
        <w:pStyle w:val="TextBody"/>
        <w:bidi w:val="0"/>
        <w:spacing w:lineRule="auto" w:line="288" w:before="0" w:after="160"/>
        <w:jc w:val="left"/>
        <w:rPr/>
      </w:pPr>
      <w:r>
        <w:rPr>
          <w:rFonts w:ascii="Frutiger LT 45 Light;sans-serif" w:hAnsi="Frutiger LT 45 Light;sans-serif"/>
          <w:b w:val="false"/>
          <w:i/>
          <w:color w:val="000000"/>
          <w:sz w:val="20"/>
        </w:rPr>
        <w:t>Contingent income.</w:t>
      </w:r>
      <w:r>
        <w:rPr>
          <w:color w:val="000000"/>
        </w:rPr>
        <w:t xml:space="preserve"> </w:t>
      </w:r>
      <w:r>
        <w:rPr>
          <w:rFonts w:ascii="Frutiger LT 45 Light;sans-serif" w:hAnsi="Frutiger LT 45 Light;sans-serif"/>
          <w:b w:val="false"/>
          <w:color w:val="000000"/>
          <w:sz w:val="20"/>
        </w:rPr>
        <w:t>We may earn contingent income from insurance carriers. Contingent income is highly variable and based primarily on underwriting results and, to a lesser extent, volume.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7955"/>
                <wp:effectExtent l="0" t="0" r="0" b="0"/>
                <wp:wrapNone/>
                <wp:docPr id="27" name="Frame2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15</w:t>
                      </w:r>
                    </w:p>
                  </w:txbxContent>
                </v:textbox>
                <w10:wrap type="none"/>
              </v:rect>
            </w:pict>
          </mc:Fallback>
        </mc:AlternateContent>
      </w:r>
    </w:p>
    <w:p>
      <w:pPr>
        <w:pStyle w:val="TextBody"/>
        <w:bidi w:val="0"/>
        <w:spacing w:lineRule="auto" w:line="288" w:before="0" w:after="160"/>
        <w:jc w:val="left"/>
        <w:rPr/>
      </w:pPr>
      <w:hyperlink w:anchor="i54bb4eec0dab4063b7a5a162c0b6d974_7">
        <w:r>
          <w:rPr>
            <w:rStyle w:val="InternetLink"/>
          </w:rPr>
          <w:t xml:space="preserve">Table </w:t>
        </w:r>
      </w:hyperlink>
      <w:hyperlink w:anchor="i54bb4eec0dab4063b7a5a162c0b6d974_7">
        <w:r>
          <w:rPr>
            <w:rStyle w:val="InternetLink"/>
          </w:rPr>
          <w:t>of</w:t>
        </w:r>
      </w:hyperlink>
      <w:hyperlink w:anchor="i54bb4eec0dab4063b7a5a162c0b6d974_7">
        <w:r>
          <w:rPr>
            <w:rStyle w:val="InternetLink"/>
          </w:rPr>
          <w:t xml:space="preserve"> Contents</w:t>
        </w:r>
      </w:hyperlink>
    </w:p>
    <w:p>
      <w:pPr>
        <w:pStyle w:val="TextBody"/>
        <w:bidi w:val="0"/>
        <w:spacing w:lineRule="auto" w:line="288" w:before="0" w:after="160"/>
        <w:jc w:val="left"/>
        <w:rPr/>
      </w:pPr>
      <w:r>
        <w:rPr>
          <w:rFonts w:ascii="Frutiger LT 45 Light;sans-serif" w:hAnsi="Frutiger LT 45 Light;sans-serif"/>
          <w:b w:val="false"/>
          <w:i/>
          <w:color w:val="000000"/>
          <w:sz w:val="20"/>
        </w:rPr>
        <w:t>Fee income.</w:t>
      </w:r>
      <w:r>
        <w:rPr>
          <w:color w:val="000000"/>
        </w:rPr>
        <w:t xml:space="preserve"> </w:t>
      </w:r>
      <w:r>
        <w:rPr>
          <w:rFonts w:ascii="Frutiger LT 45 Light;sans-serif" w:hAnsi="Frutiger LT 45 Light;sans-serif"/>
          <w:b w:val="false"/>
          <w:color w:val="000000"/>
          <w:sz w:val="20"/>
        </w:rPr>
        <w:t>Fee income is comprised primarily of policy fees, branch fees, license fees and third-party administrator (“TPA”) fees. The Company receives policy fees as compensation for administrative services performed in connection with the placement and issuance of certain policies that are in addition to and separate from commissions paid by the insurance carriers. Branch fees include the monthly recurring fees assessed for the ongoing Client service and back-office support provided to independent branches operating exclusively through the Company pursuant to an exclusive Branch agreement and a one-time branch onboarding fee. License fees are fees assessed by the Company for the use of its proprietary applications. TPA fees are related to services performed based on service agreements with the insurance carriers.</w:t>
      </w:r>
    </w:p>
    <w:p>
      <w:pPr>
        <w:pStyle w:val="TextBody"/>
        <w:bidi w:val="0"/>
        <w:spacing w:lineRule="auto" w:line="288" w:before="0" w:after="160"/>
        <w:jc w:val="left"/>
        <w:rPr/>
      </w:pPr>
      <w:r>
        <w:rPr>
          <w:rFonts w:ascii="Frutiger LT 45 Light;sans-serif" w:hAnsi="Frutiger LT 45 Light;sans-serif"/>
          <w:b w:val="false"/>
          <w:i/>
          <w:color w:val="000000"/>
          <w:sz w:val="20"/>
        </w:rPr>
        <w:t>Other income.</w:t>
      </w:r>
      <w:r>
        <w:rPr>
          <w:color w:val="000000"/>
        </w:rPr>
        <w:t xml:space="preserve"> </w:t>
      </w:r>
      <w:r>
        <w:rPr>
          <w:rFonts w:ascii="Frutiger LT 45 Light;sans-serif" w:hAnsi="Frutiger LT 45 Light;sans-serif"/>
          <w:b w:val="false"/>
          <w:color w:val="000000"/>
          <w:sz w:val="20"/>
        </w:rPr>
        <w:t>Other income is comprised primarily of income earned for facilitating premium financing arrangements, fees assessed for agent conventions, interest income on fiduciary funds, and other miscellaneous income.</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The following table sets forth our revenues by amount and as a percentage of our revenues for the periods indicated (dollar amounts in thousands):</w:t>
      </w:r>
    </w:p>
    <w:tbl>
      <w:tblPr>
        <w:tblW w:w="10877" w:type="dxa"/>
        <w:jc w:val="left"/>
        <w:tblInd w:w="0" w:type="dxa"/>
        <w:tblLayout w:type="fixed"/>
        <w:tblCellMar>
          <w:top w:w="28" w:type="dxa"/>
          <w:left w:w="28" w:type="dxa"/>
          <w:bottom w:w="28" w:type="dxa"/>
          <w:right w:w="28" w:type="dxa"/>
        </w:tblCellMar>
      </w:tblPr>
      <w:tblGrid>
        <w:gridCol w:w="359"/>
        <w:gridCol w:w="315"/>
        <w:gridCol w:w="317"/>
        <w:gridCol w:w="196"/>
        <w:gridCol w:w="646"/>
        <w:gridCol w:w="109"/>
        <w:gridCol w:w="109"/>
        <w:gridCol w:w="109"/>
        <w:gridCol w:w="109"/>
        <w:gridCol w:w="256"/>
        <w:gridCol w:w="165"/>
        <w:gridCol w:w="253"/>
        <w:gridCol w:w="109"/>
        <w:gridCol w:w="109"/>
        <w:gridCol w:w="109"/>
        <w:gridCol w:w="196"/>
        <w:gridCol w:w="646"/>
        <w:gridCol w:w="109"/>
        <w:gridCol w:w="109"/>
        <w:gridCol w:w="109"/>
        <w:gridCol w:w="109"/>
        <w:gridCol w:w="256"/>
        <w:gridCol w:w="165"/>
        <w:gridCol w:w="253"/>
        <w:gridCol w:w="109"/>
        <w:gridCol w:w="109"/>
        <w:gridCol w:w="109"/>
        <w:gridCol w:w="196"/>
        <w:gridCol w:w="736"/>
        <w:gridCol w:w="109"/>
        <w:gridCol w:w="109"/>
        <w:gridCol w:w="109"/>
        <w:gridCol w:w="109"/>
        <w:gridCol w:w="256"/>
        <w:gridCol w:w="165"/>
        <w:gridCol w:w="253"/>
        <w:gridCol w:w="109"/>
        <w:gridCol w:w="109"/>
        <w:gridCol w:w="109"/>
        <w:gridCol w:w="196"/>
        <w:gridCol w:w="736"/>
        <w:gridCol w:w="109"/>
        <w:gridCol w:w="109"/>
        <w:gridCol w:w="109"/>
        <w:gridCol w:w="109"/>
        <w:gridCol w:w="256"/>
        <w:gridCol w:w="165"/>
        <w:gridCol w:w="253"/>
        <w:gridCol w:w="109"/>
        <w:gridCol w:w="109"/>
        <w:gridCol w:w="109"/>
        <w:gridCol w:w="109"/>
        <w:gridCol w:w="109"/>
        <w:gridCol w:w="109"/>
        <w:gridCol w:w="109"/>
        <w:gridCol w:w="154"/>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1" w:type="dxa"/>
            <w:gridSpan w:val="21"/>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1" w:type="dxa"/>
            <w:gridSpan w:val="21"/>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 of 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Commission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80,643 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92 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54,562 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90 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147,694 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92 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103,347 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90 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Contingent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3 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4,102 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3,696 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3 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Fee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4,165 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5 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3,329 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6 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7,513 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5 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6,340 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6 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Other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4"/>
              </w:rPr>
            </w:pPr>
            <w:r>
              <w:rPr>
                <w:rFonts w:ascii="Frutiger LT 45 Light;sans-serif" w:hAnsi="Frutiger LT 45 Light;sans-serif"/>
                <w:b/>
                <w:color w:val="000000"/>
                <w:sz w:val="14"/>
              </w:rPr>
              <w:t>Total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87,511 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100 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60,308 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100 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160,352 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100 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114,131 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100 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Frutiger LT 45 Light;sans-serif" w:hAnsi="Frutiger LT 45 Light;sans-serif"/>
          <w:b w:val="false"/>
          <w:i/>
          <w:color w:val="000000"/>
          <w:sz w:val="20"/>
        </w:rPr>
      </w:pPr>
      <w:r>
        <w:rPr>
          <w:rFonts w:ascii="Frutiger LT 45 Light;sans-serif" w:hAnsi="Frutiger LT 45 Light;sans-serif"/>
          <w:b w:val="false"/>
          <w:i/>
          <w:color w:val="000000"/>
          <w:sz w:val="20"/>
        </w:rPr>
        <w:t>Commission expense.</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Commission expense is our largest expense, representing the consideration paid to our agents for producing and retaining business. We expect our commission expense to continue to increase corresponding with our expected business growth.</w:t>
      </w:r>
    </w:p>
    <w:p>
      <w:pPr>
        <w:pStyle w:val="TextBody"/>
        <w:bidi w:val="0"/>
        <w:spacing w:lineRule="auto" w:line="288" w:before="0" w:after="160"/>
        <w:jc w:val="left"/>
        <w:rPr>
          <w:rFonts w:ascii="Frutiger LT 45 Light;sans-serif" w:hAnsi="Frutiger LT 45 Light;sans-serif"/>
          <w:b w:val="false"/>
          <w:i/>
          <w:color w:val="000000"/>
          <w:sz w:val="20"/>
        </w:rPr>
      </w:pPr>
      <w:r>
        <w:rPr>
          <w:rFonts w:ascii="Frutiger LT 45 Light;sans-serif" w:hAnsi="Frutiger LT 45 Light;sans-serif"/>
          <w:b w:val="false"/>
          <w:i/>
          <w:color w:val="000000"/>
          <w:sz w:val="20"/>
        </w:rPr>
        <w:t>Salaries and employee benefits.</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Salaries and employee benefits consist of base compensation and any bonuses, equity compensation and benefits paid and payable to employees. We operate in competitive markets and expect to continue to experience a general rise in compensation and benefits expense commensurate with expected growth in headcount, geographic expansion and the creation of new products and services.</w:t>
      </w:r>
    </w:p>
    <w:p>
      <w:pPr>
        <w:pStyle w:val="TextBody"/>
        <w:bidi w:val="0"/>
        <w:spacing w:lineRule="auto" w:line="288" w:before="0" w:after="160"/>
        <w:jc w:val="left"/>
        <w:rPr>
          <w:rFonts w:ascii="Frutiger LT 45 Light;sans-serif" w:hAnsi="Frutiger LT 45 Light;sans-serif"/>
          <w:b w:val="false"/>
          <w:i/>
          <w:color w:val="000000"/>
          <w:sz w:val="20"/>
        </w:rPr>
      </w:pPr>
      <w:r>
        <w:rPr>
          <w:rFonts w:ascii="Frutiger LT 45 Light;sans-serif" w:hAnsi="Frutiger LT 45 Light;sans-serif"/>
          <w:b w:val="false"/>
          <w:i/>
          <w:color w:val="000000"/>
          <w:sz w:val="20"/>
        </w:rPr>
        <w:t>Other administrative expenses.</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 xml:space="preserve">Other administrative expenses include technology costs, legal and professional fees, office expenses, marketing expense, survey expenses and other costs associated with our operations. Fluctuations in other administrative expenses are relative to the overall scale of our business operations. </w:t>
      </w:r>
    </w:p>
    <w:p>
      <w:pPr>
        <w:pStyle w:val="TextBody"/>
        <w:bidi w:val="0"/>
        <w:spacing w:lineRule="auto" w:line="288" w:before="0" w:after="160"/>
        <w:jc w:val="left"/>
        <w:rPr>
          <w:rFonts w:ascii="Frutiger LT 45 Light;sans-serif" w:hAnsi="Frutiger LT 45 Light;sans-serif"/>
          <w:b w:val="false"/>
          <w:i/>
          <w:color w:val="000000"/>
          <w:sz w:val="20"/>
        </w:rPr>
      </w:pPr>
      <w:r>
        <w:rPr>
          <w:rFonts w:ascii="Frutiger LT 45 Light;sans-serif" w:hAnsi="Frutiger LT 45 Light;sans-serif"/>
          <w:b w:val="false"/>
          <w:i/>
          <w:color w:val="000000"/>
          <w:sz w:val="20"/>
        </w:rPr>
        <w:t>Depreciation and amortization.</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Depreciation and amortization are primarily comprised of the amortization of intangible assets recognized from our strategic asset acquisitions. As we continue to pursue strategic asset acquisitions, we expect our amortization expenses to increase.</w:t>
      </w:r>
    </w:p>
    <w:p>
      <w:pPr>
        <w:pStyle w:val="TextBody"/>
        <w:bidi w:val="0"/>
        <w:spacing w:lineRule="auto" w:line="288" w:before="0" w:after="160"/>
        <w:jc w:val="left"/>
        <w:rPr/>
      </w:pPr>
      <w:r>
        <w:rPr>
          <w:rFonts w:ascii="Frutiger LT 45 Light;sans-serif" w:hAnsi="Frutiger LT 45 Light;sans-serif"/>
          <w:b w:val="false"/>
          <w:i/>
          <w:color w:val="000000"/>
          <w:sz w:val="20"/>
        </w:rPr>
        <w:t>Interes</w:t>
      </w:r>
      <w:r>
        <w:rPr>
          <w:rFonts w:ascii="Frutiger LT 45 Light;sans-serif" w:hAnsi="Frutiger LT 45 Light;sans-serif"/>
          <w:b w:val="false"/>
          <w:i/>
          <w:color w:val="000000"/>
          <w:sz w:val="20"/>
          <w:shd w:fill="FFFFFF" w:val="clear"/>
        </w:rPr>
        <w:t>t expense.</w:t>
      </w:r>
    </w:p>
    <w:p>
      <w:pPr>
        <w:pStyle w:val="TextBody"/>
        <w:bidi w:val="0"/>
        <w:spacing w:lineRule="auto" w:line="288" w:before="0" w:after="160"/>
        <w:jc w:val="left"/>
        <w:rPr>
          <w:rFonts w:ascii="Frutiger LT 45 Light;sans-serif" w:hAnsi="Frutiger LT 45 Light;sans-serif"/>
          <w:b w:val="false"/>
          <w:color w:val="000000"/>
          <w:sz w:val="20"/>
          <w:shd w:fill="FFFFFF" w:val="clear"/>
        </w:rPr>
      </w:pPr>
      <w:r>
        <w:rPr>
          <w:rFonts w:ascii="Frutiger LT 45 Light;sans-serif" w:hAnsi="Frutiger LT 45 Light;sans-serif"/>
          <w:b w:val="false"/>
          <w:color w:val="000000"/>
          <w:sz w:val="20"/>
          <w:shd w:fill="FFFFFF" w:val="clear"/>
        </w:rPr>
        <w:t>Interest expense consists of interest payable on indebtedness, commitment fees and imputed interest on deferred acquisition payables.</w:t>
      </w:r>
    </w:p>
    <w:p>
      <w:pPr>
        <w:pStyle w:val="TextBody"/>
        <w:bidi w:val="0"/>
        <w:spacing w:lineRule="auto" w:line="288" w:before="0" w:after="160"/>
        <w:jc w:val="left"/>
        <w:rPr>
          <w:rFonts w:ascii="Frutiger LT 45 Light;sans-serif" w:hAnsi="Frutiger LT 45 Light;sans-serif"/>
          <w:b w:val="false"/>
          <w:i/>
          <w:color w:val="000000"/>
          <w:sz w:val="20"/>
        </w:rPr>
      </w:pPr>
      <w:r>
        <w:rPr>
          <w:rFonts w:ascii="Frutiger LT 45 Light;sans-serif" w:hAnsi="Frutiger LT 45 Light;sans-serif"/>
          <w:b w:val="false"/>
          <w:i/>
          <w:color w:val="000000"/>
          <w:sz w:val="20"/>
        </w:rPr>
        <w:t>Interest income.</w:t>
      </w:r>
    </w:p>
    <w:p>
      <w:pPr>
        <w:pStyle w:val="TextBody"/>
        <w:bidi w:val="0"/>
        <w:spacing w:lineRule="auto" w:line="288" w:before="0" w:after="160"/>
        <w:jc w:val="left"/>
        <w:rPr/>
      </w:pPr>
      <w:r>
        <w:rPr>
          <w:rFonts w:ascii="Frutiger LT 45 Light;sans-serif" w:hAnsi="Frutiger LT 45 Light;sans-serif"/>
          <w:b w:val="false"/>
          <w:color w:val="000000"/>
          <w:sz w:val="20"/>
        </w:rPr>
        <w:t>Interest income consists of interest earned on the Company’s cash and cash equivalents which are not held in a fiduciary capacity.</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7955"/>
                <wp:effectExtent l="0" t="0" r="0" b="0"/>
                <wp:wrapNone/>
                <wp:docPr id="28" name="Frame2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16</w:t>
                      </w:r>
                    </w:p>
                  </w:txbxContent>
                </v:textbox>
                <w10:wrap type="none"/>
              </v:rect>
            </w:pict>
          </mc:Fallback>
        </mc:AlternateContent>
      </w:r>
    </w:p>
    <w:p>
      <w:pPr>
        <w:pStyle w:val="TextBody"/>
        <w:bidi w:val="0"/>
        <w:spacing w:lineRule="auto" w:line="288" w:before="0" w:after="160"/>
        <w:jc w:val="left"/>
        <w:rPr/>
      </w:pPr>
      <w:hyperlink w:anchor="i54bb4eec0dab4063b7a5a162c0b6d974_7">
        <w:r>
          <w:rPr>
            <w:rStyle w:val="InternetLink"/>
          </w:rPr>
          <w:t xml:space="preserve">Table </w:t>
        </w:r>
      </w:hyperlink>
      <w:hyperlink w:anchor="i54bb4eec0dab4063b7a5a162c0b6d974_7">
        <w:r>
          <w:rPr>
            <w:rStyle w:val="InternetLink"/>
          </w:rPr>
          <w:t>of</w:t>
        </w:r>
      </w:hyperlink>
      <w:hyperlink w:anchor="i54bb4eec0dab4063b7a5a162c0b6d974_7">
        <w:r>
          <w:rPr>
            <w:rStyle w:val="InternetLink"/>
          </w:rPr>
          <w:t xml:space="preserve"> Contents</w:t>
        </w:r>
      </w:hyperlink>
    </w:p>
    <w:p>
      <w:pPr>
        <w:pStyle w:val="TextBody"/>
        <w:bidi w:val="0"/>
        <w:spacing w:lineRule="auto" w:line="288" w:before="0" w:after="160"/>
        <w:jc w:val="left"/>
        <w:rPr>
          <w:rFonts w:ascii="Frutiger LT 45 Light;sans-serif" w:hAnsi="Frutiger LT 45 Light;sans-serif"/>
          <w:b/>
          <w:color w:val="000000"/>
          <w:sz w:val="24"/>
        </w:rPr>
      </w:pPr>
      <w:r>
        <w:rPr>
          <w:rFonts w:ascii="Frutiger LT 45 Light;sans-serif" w:hAnsi="Frutiger LT 45 Light;sans-serif"/>
          <w:b/>
          <w:color w:val="000000"/>
          <w:sz w:val="24"/>
        </w:rPr>
        <w:t>Consolidated results of operations</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The following is a discussion of our consolidated results of operations for the periods presented. This information is derived from our accompanying unaudited Condensed Consolidated Financial Statements prepared in accordance with accounting principles generally accepted in the United States of America (“GAAP”).</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 xml:space="preserve">The following table summarizes our results of operations for the periods presented (in thousands): </w:t>
      </w:r>
    </w:p>
    <w:tbl>
      <w:tblPr>
        <w:tblW w:w="11304" w:type="dxa"/>
        <w:jc w:val="left"/>
        <w:tblInd w:w="0" w:type="dxa"/>
        <w:tblLayout w:type="fixed"/>
        <w:tblCellMar>
          <w:top w:w="28" w:type="dxa"/>
          <w:left w:w="28" w:type="dxa"/>
          <w:bottom w:w="28" w:type="dxa"/>
          <w:right w:w="28" w:type="dxa"/>
        </w:tblCellMar>
      </w:tblPr>
      <w:tblGrid>
        <w:gridCol w:w="718"/>
        <w:gridCol w:w="367"/>
        <w:gridCol w:w="371"/>
        <w:gridCol w:w="211"/>
        <w:gridCol w:w="721"/>
        <w:gridCol w:w="109"/>
        <w:gridCol w:w="109"/>
        <w:gridCol w:w="109"/>
        <w:gridCol w:w="109"/>
        <w:gridCol w:w="243"/>
        <w:gridCol w:w="223"/>
        <w:gridCol w:w="318"/>
        <w:gridCol w:w="109"/>
        <w:gridCol w:w="109"/>
        <w:gridCol w:w="109"/>
        <w:gridCol w:w="211"/>
        <w:gridCol w:w="721"/>
        <w:gridCol w:w="109"/>
        <w:gridCol w:w="109"/>
        <w:gridCol w:w="109"/>
        <w:gridCol w:w="109"/>
        <w:gridCol w:w="243"/>
        <w:gridCol w:w="223"/>
        <w:gridCol w:w="318"/>
        <w:gridCol w:w="109"/>
        <w:gridCol w:w="109"/>
        <w:gridCol w:w="109"/>
        <w:gridCol w:w="211"/>
        <w:gridCol w:w="826"/>
        <w:gridCol w:w="109"/>
        <w:gridCol w:w="109"/>
        <w:gridCol w:w="109"/>
        <w:gridCol w:w="109"/>
        <w:gridCol w:w="243"/>
        <w:gridCol w:w="223"/>
        <w:gridCol w:w="318"/>
        <w:gridCol w:w="109"/>
        <w:gridCol w:w="109"/>
        <w:gridCol w:w="109"/>
        <w:gridCol w:w="211"/>
        <w:gridCol w:w="826"/>
        <w:gridCol w:w="109"/>
        <w:gridCol w:w="109"/>
        <w:gridCol w:w="109"/>
        <w:gridCol w:w="109"/>
        <w:gridCol w:w="295"/>
        <w:gridCol w:w="171"/>
        <w:gridCol w:w="367"/>
      </w:tblGrid>
      <w:tr>
        <w:trPr/>
        <w:tc>
          <w:tcPr>
            <w:tcW w:w="7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1" w:type="dxa"/>
            <w:gridSpan w:val="21"/>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21"/>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Six Months Ended June 30,</w:t>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2025</w:t>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 of Total</w:t>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6"/>
              </w:rPr>
            </w:pPr>
            <w:r>
              <w:rPr>
                <w:rFonts w:ascii="Frutiger LT 45 Light;sans-serif" w:hAnsi="Frutiger LT 45 Light;sans-serif"/>
                <w:b/>
                <w:color w:val="000000"/>
                <w:sz w:val="16"/>
              </w:rPr>
              <w:t>Revenues: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Commission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80,643 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92 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54,562 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90 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147,694 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92 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103,347 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90 </w:t>
            </w:r>
          </w:p>
        </w:tc>
        <w:tc>
          <w:tcPr>
            <w:tcW w:w="367" w:type="dxa"/>
            <w:tcBorders/>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Contingent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Fee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6 </w:t>
            </w:r>
          </w:p>
        </w:tc>
        <w:tc>
          <w:tcPr>
            <w:tcW w:w="3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Other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Total revenues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87,511 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100 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60,308 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100 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160,352 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100 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114,131 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100 </w:t>
            </w:r>
          </w:p>
        </w:tc>
        <w:tc>
          <w:tcPr>
            <w:tcW w:w="3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6"/>
              </w:rPr>
            </w:pPr>
            <w:r>
              <w:rPr>
                <w:rFonts w:ascii="Frutiger LT 45 Light;sans-serif" w:hAnsi="Frutiger LT 45 Light;sans-serif"/>
                <w:b/>
                <w:color w:val="000000"/>
                <w:sz w:val="16"/>
              </w:rPr>
              <w:t>Operating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Commission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42,491 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61 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34,151 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65 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79,521 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61 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65,965 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65 </w:t>
            </w:r>
          </w:p>
        </w:tc>
        <w:tc>
          <w:tcPr>
            <w:tcW w:w="367" w:type="dxa"/>
            <w:tcBorders/>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Salaries and employee benefits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11,781 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17 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9,493 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18 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21,682 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17 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17,689 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18 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Other administrative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8,587 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15,977 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10 </w:t>
            </w:r>
          </w:p>
        </w:tc>
        <w:tc>
          <w:tcPr>
            <w:tcW w:w="3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 xml:space="preserve">Depreciation and amortization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13,234 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color w:val="000000"/>
                <w:sz w:val="16"/>
              </w:rPr>
            </w:pPr>
            <w:r>
              <w:rPr>
                <w:rFonts w:ascii="Frutiger LT 45 Light;sans-serif" w:hAnsi="Frutiger LT 45 Light;sans-serif"/>
                <w:b/>
                <w:color w:val="000000"/>
                <w:sz w:val="16"/>
              </w:rPr>
              <w:t>Total operating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69,924 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100 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52,945 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100 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130,414 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100 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101,038 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100 </w:t>
            </w:r>
          </w:p>
        </w:tc>
        <w:tc>
          <w:tcPr>
            <w:tcW w:w="3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color w:val="000000"/>
                <w:sz w:val="16"/>
              </w:rPr>
            </w:pPr>
            <w:r>
              <w:rPr>
                <w:rFonts w:ascii="Frutiger LT 45 Light;sans-serif" w:hAnsi="Frutiger LT 45 Light;sans-serif"/>
                <w:b/>
                <w:color w:val="000000"/>
                <w:sz w:val="16"/>
              </w:rPr>
              <w:t>Operating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17,587 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29,938 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13,093 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6"/>
              </w:rPr>
            </w:pPr>
            <w:r>
              <w:rPr>
                <w:rFonts w:ascii="Frutiger LT 45 Light;sans-serif" w:hAnsi="Frutiger LT 45 Light;sans-serif"/>
                <w:b/>
                <w:color w:val="000000"/>
                <w:sz w:val="16"/>
              </w:rPr>
              <w:t>Other non-operating income (expense)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Other non-operating income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Income before tax</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18,282 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9,620 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32,494 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17,129 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color w:val="000000"/>
                <w:sz w:val="16"/>
              </w:rPr>
            </w:pPr>
            <w:r>
              <w:rPr>
                <w:rFonts w:ascii="Frutiger LT 45 Light;sans-serif" w:hAnsi="Frutiger LT 45 Light;sans-serif"/>
                <w:b/>
                <w:color w:val="000000"/>
                <w:sz w:val="16"/>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17,251 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9,000 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30,330 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15,853 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Frutiger LT 45 Light;sans-serif" w:hAnsi="Frutiger LT 45 Light;sans-serif"/>
          <w:b/>
          <w:i/>
          <w:color w:val="000000"/>
          <w:sz w:val="20"/>
        </w:rPr>
      </w:pPr>
      <w:r>
        <w:rPr>
          <w:rFonts w:ascii="Frutiger LT 45 Light;sans-serif" w:hAnsi="Frutiger LT 45 Light;sans-serif"/>
          <w:b/>
          <w:i/>
          <w:color w:val="000000"/>
          <w:sz w:val="20"/>
        </w:rPr>
        <w:t>Comparison of the Three Months Ended June 30, 2026 and 2025</w:t>
      </w:r>
    </w:p>
    <w:p>
      <w:pPr>
        <w:pStyle w:val="TextBody"/>
        <w:bidi w:val="0"/>
        <w:spacing w:lineRule="auto" w:line="288" w:before="0" w:after="160"/>
        <w:jc w:val="left"/>
        <w:rPr>
          <w:rFonts w:ascii="Frutiger LT 45 Light;sans-serif" w:hAnsi="Frutiger LT 45 Light;sans-serif"/>
          <w:b/>
          <w:i/>
          <w:color w:val="000000"/>
          <w:sz w:val="20"/>
        </w:rPr>
      </w:pPr>
      <w:r>
        <w:rPr>
          <w:rFonts w:ascii="Frutiger LT 45 Light;sans-serif" w:hAnsi="Frutiger LT 45 Light;sans-serif"/>
          <w:b/>
          <w:i/>
          <w:color w:val="000000"/>
          <w:sz w:val="20"/>
        </w:rPr>
        <w:t>Total revenues</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The following table presents the disaggregation of our revenues by offerings (in thousands):</w:t>
      </w:r>
    </w:p>
    <w:tbl>
      <w:tblPr>
        <w:tblW w:w="7474" w:type="dxa"/>
        <w:jc w:val="left"/>
        <w:tblInd w:w="0" w:type="dxa"/>
        <w:tblLayout w:type="fixed"/>
        <w:tblCellMar>
          <w:top w:w="28" w:type="dxa"/>
          <w:left w:w="28" w:type="dxa"/>
          <w:bottom w:w="28" w:type="dxa"/>
          <w:right w:w="28" w:type="dxa"/>
        </w:tblCellMar>
      </w:tblPr>
      <w:tblGrid>
        <w:gridCol w:w="786"/>
        <w:gridCol w:w="692"/>
        <w:gridCol w:w="696"/>
        <w:gridCol w:w="211"/>
        <w:gridCol w:w="721"/>
        <w:gridCol w:w="109"/>
        <w:gridCol w:w="109"/>
        <w:gridCol w:w="109"/>
        <w:gridCol w:w="109"/>
        <w:gridCol w:w="243"/>
        <w:gridCol w:w="243"/>
        <w:gridCol w:w="578"/>
        <w:gridCol w:w="109"/>
        <w:gridCol w:w="109"/>
        <w:gridCol w:w="109"/>
        <w:gridCol w:w="211"/>
        <w:gridCol w:w="721"/>
        <w:gridCol w:w="109"/>
        <w:gridCol w:w="109"/>
        <w:gridCol w:w="109"/>
        <w:gridCol w:w="109"/>
        <w:gridCol w:w="295"/>
        <w:gridCol w:w="232"/>
        <w:gridCol w:w="646"/>
      </w:tblGrid>
      <w:tr>
        <w:trPr/>
        <w:tc>
          <w:tcPr>
            <w:tcW w:w="7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0" w:type="dxa"/>
            <w:gridSpan w:val="21"/>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Three Months Ended June 30,</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2025</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 of Total</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Insurance Services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Agency-in-a-Box</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42,316 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48 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39,316 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65 </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Corporate Branches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14,198 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16 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11,393 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19 </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Total Insurance Services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56,514 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64 </w:t>
            </w:r>
          </w:p>
        </w:tc>
        <w:tc>
          <w:tcPr>
            <w:tcW w:w="5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50,709 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84 </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TWFG MGA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30,486 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35 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9,233 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15 </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6"/>
              </w:rPr>
            </w:pPr>
            <w:r>
              <w:rPr>
                <w:rFonts w:ascii="Frutiger LT 45 Light;sans-serif" w:hAnsi="Frutiger LT 45 Light;sans-serif"/>
                <w:b/>
                <w:color w:val="000000"/>
                <w:sz w:val="16"/>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87,511 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100 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60,308 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100 </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r>
      <w:tr>
        <w:trPr/>
        <w:tc>
          <w:tcPr>
            <w:tcW w:w="217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Frutiger LT 45 Light;sans-serif" w:hAnsi="Frutiger LT 45 Light;sans-serif"/>
          <w:b w:val="false"/>
          <w:color w:val="000000"/>
          <w:sz w:val="20"/>
        </w:rPr>
        <w:t>Total revenues for th</w:t>
      </w:r>
      <w:r>
        <w:rPr>
          <w:rFonts w:ascii="Frutiger LT 45 Light;sans-serif" w:hAnsi="Frutiger LT 45 Light;sans-serif"/>
          <w:b w:val="false"/>
          <w:color w:val="000000"/>
          <w:sz w:val="20"/>
          <w:shd w:fill="FFFFFF" w:val="clear"/>
        </w:rPr>
        <w:t xml:space="preserve">e </w:t>
      </w:r>
      <w:r>
        <w:rPr>
          <w:rFonts w:ascii="Frutiger LT 45 Light;sans-serif" w:hAnsi="Frutiger LT 45 Light;sans-serif"/>
          <w:b w:val="false"/>
          <w:color w:val="000000"/>
          <w:sz w:val="20"/>
        </w:rPr>
        <w:t>three months ended June 30, 2026</w:t>
      </w:r>
      <w:r>
        <w:rPr>
          <w:color w:val="000000"/>
          <w:shd w:fill="FFFFFF" w:val="clear"/>
        </w:rPr>
        <w:t xml:space="preserve"> </w:t>
      </w:r>
      <w:r>
        <w:rPr>
          <w:rFonts w:ascii="Frutiger LT 45 Light;sans-serif" w:hAnsi="Frutiger LT 45 Light;sans-serif"/>
          <w:b w:val="false"/>
          <w:color w:val="000000"/>
          <w:sz w:val="20"/>
        </w:rPr>
        <w:t>increased</w:t>
      </w:r>
      <w:r>
        <w:rPr>
          <w:color w:val="000000"/>
          <w:shd w:fill="FFFFFF" w:val="clear"/>
        </w:rPr>
        <w:t xml:space="preserve"> </w:t>
      </w:r>
      <w:r>
        <w:rPr>
          <w:rFonts w:ascii="Frutiger LT 45 Light;sans-serif" w:hAnsi="Frutiger LT 45 Light;sans-serif"/>
          <w:b w:val="false"/>
          <w:color w:val="000000"/>
          <w:sz w:val="20"/>
          <w:shd w:fill="FFFFFF" w:val="clear"/>
        </w:rPr>
        <w:t xml:space="preserve">by $27.2 million, or 45.1%, compared to the same period in the prior year. The $26.1 million, or 47.8%, </w:t>
      </w:r>
      <w:r>
        <w:rPr>
          <w:rFonts w:ascii="Frutiger LT 45 Light;sans-serif" w:hAnsi="Frutiger LT 45 Light;sans-serif"/>
          <w:b w:val="false"/>
          <w:color w:val="000000"/>
          <w:sz w:val="20"/>
        </w:rPr>
        <w:t>increase</w:t>
      </w:r>
      <w:r>
        <w:rPr>
          <w:color w:val="000000"/>
          <w:shd w:fill="FFFFFF" w:val="clear"/>
        </w:rPr>
        <w:t xml:space="preserve"> </w:t>
      </w:r>
      <w:r>
        <w:rPr>
          <w:rFonts w:ascii="Frutiger LT 45 Light;sans-serif" w:hAnsi="Frutiger LT 45 Light;sans-serif"/>
          <w:b w:val="false"/>
          <w:color w:val="000000"/>
          <w:sz w:val="20"/>
          <w:shd w:fill="FFFFFF" w:val="clear"/>
        </w:rPr>
        <w:t xml:space="preserve">in commission income was driven by </w:t>
      </w:r>
      <w:r>
        <w:rPr>
          <w:rFonts w:ascii="Frutiger LT 45 Light;sans-serif" w:hAnsi="Frutiger LT 45 Light;sans-serif"/>
          <w:b w:val="false"/>
          <w:color w:val="000000"/>
          <w:sz w:val="20"/>
        </w:rPr>
        <w:t xml:space="preserve">TWFG MGA FL, LLC (“TWFG MGA FL”) growth, new agent onboarding, strategic acquisitions, and higher commission income rates. </w:t>
      </w:r>
      <w:r>
        <w:rPr>
          <w:rFonts w:ascii="Frutiger LT 45 Light;sans-serif" w:hAnsi="Frutiger LT 45 Light;sans-serif"/>
          <w:b w:val="false"/>
          <w:color w:val="000000"/>
          <w:sz w:val="20"/>
          <w:shd w:fill="FFFFFF" w:val="clear"/>
        </w:rPr>
        <w:t xml:space="preserve">Also contributing to the increase in total revenues were the $0.8 million, or </w:t>
      </w:r>
      <w:r>
        <w:rPr>
          <w:rFonts w:ascii="Frutiger LT 45 Light;sans-serif" w:hAnsi="Frutiger LT 45 Light;sans-serif"/>
          <w:b w:val="false"/>
          <w:color w:val="000000"/>
          <w:sz w:val="20"/>
        </w:rPr>
        <w:t>25.1%</w:t>
      </w:r>
      <w:r>
        <w:rPr>
          <w:rFonts w:ascii="Frutiger LT 45 Light;sans-serif" w:hAnsi="Frutiger LT 45 Light;sans-serif"/>
          <w:b w:val="false"/>
          <w:color w:val="000000"/>
          <w:sz w:val="20"/>
          <w:shd w:fill="FFFFFF" w:val="clear"/>
        </w:rPr>
        <w:t xml:space="preserve">, </w:t>
      </w:r>
      <w:r>
        <w:rPr>
          <w:rFonts w:ascii="Frutiger LT 45 Light;sans-serif" w:hAnsi="Frutiger LT 45 Light;sans-serif"/>
          <w:b w:val="false"/>
          <w:color w:val="000000"/>
          <w:sz w:val="20"/>
        </w:rPr>
        <w:t>increase</w:t>
      </w:r>
      <w:r>
        <w:rPr>
          <w:color w:val="000000"/>
          <w:shd w:fill="FFFFFF" w:val="clear"/>
        </w:rPr>
        <w:t xml:space="preserve"> </w:t>
      </w:r>
      <w:r>
        <w:rPr>
          <w:rFonts w:ascii="Frutiger LT 45 Light;sans-serif" w:hAnsi="Frutiger LT 45 Light;sans-serif"/>
          <w:b w:val="false"/>
          <w:color w:val="000000"/>
          <w:sz w:val="20"/>
          <w:shd w:fill="FFFFFF" w:val="clear"/>
        </w:rPr>
        <w:t xml:space="preserve">in fee income, $0.2 million, or </w:t>
      </w:r>
      <w:r>
        <w:rPr>
          <w:rFonts w:ascii="Frutiger LT 45 Light;sans-serif" w:hAnsi="Frutiger LT 45 Light;sans-serif"/>
          <w:b w:val="false"/>
          <w:color w:val="000000"/>
          <w:sz w:val="20"/>
        </w:rPr>
        <w:t>39.6%</w:t>
      </w:r>
      <w:r>
        <w:rPr>
          <w:rFonts w:ascii="Frutiger LT 45 Light;sans-serif" w:hAnsi="Frutiger LT 45 Light;sans-serif"/>
          <w:b w:val="false"/>
          <w:color w:val="000000"/>
          <w:sz w:val="20"/>
          <w:shd w:fill="FFFFFF" w:val="clear"/>
        </w:rPr>
        <w:t xml:space="preserve">, </w:t>
      </w:r>
      <w:r>
        <w:rPr>
          <w:rFonts w:ascii="Frutiger LT 45 Light;sans-serif" w:hAnsi="Frutiger LT 45 Light;sans-serif"/>
          <w:b w:val="false"/>
          <w:color w:val="000000"/>
          <w:sz w:val="20"/>
        </w:rPr>
        <w:t>increase</w:t>
      </w:r>
      <w:r>
        <w:rPr>
          <w:color w:val="000000"/>
          <w:shd w:fill="FFFFFF" w:val="clear"/>
        </w:rPr>
        <w:t xml:space="preserve"> </w:t>
      </w:r>
      <w:r>
        <w:rPr>
          <w:rFonts w:ascii="Frutiger LT 45 Light;sans-serif" w:hAnsi="Frutiger LT 45 Light;sans-serif"/>
          <w:b w:val="false"/>
          <w:color w:val="000000"/>
          <w:sz w:val="20"/>
          <w:shd w:fill="FFFFFF" w:val="clear"/>
        </w:rPr>
        <w:t xml:space="preserve">in other income, and $0.1 million, or </w:t>
      </w:r>
      <w:r>
        <w:rPr>
          <w:rFonts w:ascii="Frutiger LT 45 Light;sans-serif" w:hAnsi="Frutiger LT 45 Light;sans-serif"/>
          <w:b w:val="false"/>
          <w:color w:val="000000"/>
          <w:sz w:val="20"/>
        </w:rPr>
        <w:t>6.6%</w:t>
      </w:r>
      <w:r>
        <w:rPr>
          <w:rFonts w:ascii="Frutiger LT 45 Light;sans-serif" w:hAnsi="Frutiger LT 45 Light;sans-serif"/>
          <w:b w:val="false"/>
          <w:color w:val="000000"/>
          <w:sz w:val="20"/>
          <w:shd w:fill="FFFFFF" w:val="clear"/>
        </w:rPr>
        <w:t xml:space="preserve">, </w:t>
      </w:r>
      <w:r>
        <w:rPr>
          <w:rFonts w:ascii="Frutiger LT 45 Light;sans-serif" w:hAnsi="Frutiger LT 45 Light;sans-serif"/>
          <w:b w:val="false"/>
          <w:color w:val="000000"/>
          <w:sz w:val="20"/>
        </w:rPr>
        <w:t>increase</w:t>
      </w:r>
      <w:r>
        <w:rPr>
          <w:color w:val="000000"/>
          <w:shd w:fill="FFFFFF" w:val="clear"/>
        </w:rPr>
        <w:t xml:space="preserve"> </w:t>
      </w:r>
      <w:r>
        <w:rPr>
          <w:rFonts w:ascii="Frutiger LT 45 Light;sans-serif" w:hAnsi="Frutiger LT 45 Light;sans-serif"/>
          <w:b w:val="false"/>
          <w:color w:val="000000"/>
          <w:sz w:val="20"/>
          <w:shd w:fill="FFFFFF" w:val="clear"/>
        </w:rPr>
        <w:t>in contingent income compared to the same period in the prior year. See discussions below for additional information about the changes in our revenues.</w:t>
      </w:r>
    </w:p>
    <w:p>
      <w:pPr>
        <w:pStyle w:val="TextBody"/>
        <w:bidi w:val="0"/>
        <w:spacing w:before="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7955"/>
                <wp:effectExtent l="0" t="0" r="0" b="0"/>
                <wp:wrapNone/>
                <wp:docPr id="29" name="Frame2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17</w:t>
                      </w:r>
                    </w:p>
                  </w:txbxContent>
                </v:textbox>
                <w10:wrap type="none"/>
              </v:rect>
            </w:pict>
          </mc:Fallback>
        </mc:AlternateContent>
      </w:r>
    </w:p>
    <w:p>
      <w:pPr>
        <w:pStyle w:val="TextBody"/>
        <w:bidi w:val="0"/>
        <w:spacing w:lineRule="auto" w:line="288" w:before="0" w:after="160"/>
        <w:jc w:val="left"/>
        <w:rPr/>
      </w:pPr>
      <w:hyperlink w:anchor="i54bb4eec0dab4063b7a5a162c0b6d974_7">
        <w:r>
          <w:rPr>
            <w:rStyle w:val="InternetLink"/>
          </w:rPr>
          <w:t xml:space="preserve">Table </w:t>
        </w:r>
      </w:hyperlink>
      <w:hyperlink w:anchor="i54bb4eec0dab4063b7a5a162c0b6d974_7">
        <w:r>
          <w:rPr>
            <w:rStyle w:val="InternetLink"/>
          </w:rPr>
          <w:t>of</w:t>
        </w:r>
      </w:hyperlink>
      <w:hyperlink w:anchor="i54bb4eec0dab4063b7a5a162c0b6d974_7">
        <w:r>
          <w:rPr>
            <w:rStyle w:val="InternetLink"/>
          </w:rPr>
          <w:t xml:space="preserve"> Contents</w:t>
        </w:r>
      </w:hyperlink>
    </w:p>
    <w:p>
      <w:pPr>
        <w:pStyle w:val="TextBody"/>
        <w:bidi w:val="0"/>
        <w:spacing w:lineRule="auto" w:line="288" w:before="0" w:after="160"/>
        <w:jc w:val="left"/>
        <w:rPr>
          <w:rFonts w:ascii="Frutiger LT 45 Light;sans-serif" w:hAnsi="Frutiger LT 45 Light;sans-serif"/>
          <w:b w:val="false"/>
          <w:i/>
          <w:color w:val="000000"/>
          <w:sz w:val="20"/>
        </w:rPr>
      </w:pPr>
      <w:r>
        <w:rPr>
          <w:rFonts w:ascii="Frutiger LT 45 Light;sans-serif" w:hAnsi="Frutiger LT 45 Light;sans-serif"/>
          <w:b w:val="false"/>
          <w:i/>
          <w:color w:val="000000"/>
          <w:sz w:val="20"/>
        </w:rPr>
        <w:t>Commission income</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The following table presents the disaggregation of our commission income by offerings (in thousands):</w:t>
      </w:r>
    </w:p>
    <w:tbl>
      <w:tblPr>
        <w:tblW w:w="7820" w:type="dxa"/>
        <w:jc w:val="left"/>
        <w:tblInd w:w="0" w:type="dxa"/>
        <w:tblLayout w:type="fixed"/>
        <w:tblCellMar>
          <w:top w:w="28" w:type="dxa"/>
          <w:left w:w="28" w:type="dxa"/>
          <w:bottom w:w="28" w:type="dxa"/>
          <w:right w:w="28" w:type="dxa"/>
        </w:tblCellMar>
      </w:tblPr>
      <w:tblGrid>
        <w:gridCol w:w="911"/>
        <w:gridCol w:w="802"/>
        <w:gridCol w:w="807"/>
        <w:gridCol w:w="211"/>
        <w:gridCol w:w="721"/>
        <w:gridCol w:w="109"/>
        <w:gridCol w:w="109"/>
        <w:gridCol w:w="109"/>
        <w:gridCol w:w="109"/>
        <w:gridCol w:w="243"/>
        <w:gridCol w:w="243"/>
        <w:gridCol w:w="578"/>
        <w:gridCol w:w="109"/>
        <w:gridCol w:w="109"/>
        <w:gridCol w:w="109"/>
        <w:gridCol w:w="211"/>
        <w:gridCol w:w="721"/>
        <w:gridCol w:w="109"/>
        <w:gridCol w:w="109"/>
        <w:gridCol w:w="109"/>
        <w:gridCol w:w="109"/>
        <w:gridCol w:w="295"/>
        <w:gridCol w:w="232"/>
        <w:gridCol w:w="646"/>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0" w:type="dxa"/>
            <w:gridSpan w:val="21"/>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Three Months Ended June 30,</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2025</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 of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 of Total</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Insurance Services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Agency-in-a-Box</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39,667 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49 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36,275 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66 </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Corporate Branches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13,690 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17 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11,294 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21 </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Total Insurance Services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53,357 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66 </w:t>
            </w:r>
          </w:p>
        </w:tc>
        <w:tc>
          <w:tcPr>
            <w:tcW w:w="5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47,569 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87 </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TWFG MGA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27,286 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34 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13 </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6"/>
              </w:rPr>
            </w:pPr>
            <w:r>
              <w:rPr>
                <w:rFonts w:ascii="Frutiger LT 45 Light;sans-serif" w:hAnsi="Frutiger LT 45 Light;sans-serif"/>
                <w:b/>
                <w:color w:val="000000"/>
                <w:sz w:val="16"/>
              </w:rPr>
              <w:t>Total commission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80,643 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100 </w:t>
            </w:r>
          </w:p>
        </w:tc>
        <w:tc>
          <w:tcPr>
            <w:tcW w:w="5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54,562 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100 </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r>
      <w:tr>
        <w:trPr/>
        <w:tc>
          <w:tcPr>
            <w:tcW w:w="252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Frutiger LT 45 Light;sans-serif" w:hAnsi="Frutiger LT 45 Light;sans-serif"/>
          <w:b w:val="false"/>
          <w:color w:val="000000"/>
          <w:sz w:val="20"/>
          <w:shd w:fill="FFFFFF" w:val="clear"/>
        </w:rPr>
        <w:t xml:space="preserve">Total commission income for the </w:t>
      </w:r>
      <w:r>
        <w:rPr>
          <w:rFonts w:ascii="Frutiger LT 45 Light;sans-serif" w:hAnsi="Frutiger LT 45 Light;sans-serif"/>
          <w:b w:val="false"/>
          <w:color w:val="000000"/>
          <w:sz w:val="20"/>
        </w:rPr>
        <w:t>three months ended June 30, 2026</w:t>
      </w:r>
      <w:r>
        <w:rPr>
          <w:color w:val="000000"/>
          <w:shd w:fill="FFFFFF" w:val="clear"/>
        </w:rPr>
        <w:t xml:space="preserve"> </w:t>
      </w:r>
      <w:r>
        <w:rPr>
          <w:rFonts w:ascii="Frutiger LT 45 Light;sans-serif" w:hAnsi="Frutiger LT 45 Light;sans-serif"/>
          <w:b w:val="false"/>
          <w:color w:val="000000"/>
          <w:sz w:val="20"/>
          <w:shd w:fill="FFFFFF" w:val="clear"/>
        </w:rPr>
        <w:t xml:space="preserve">increased by $26.1 million, or </w:t>
      </w:r>
      <w:r>
        <w:rPr>
          <w:rFonts w:ascii="Frutiger LT 45 Light;sans-serif" w:hAnsi="Frutiger LT 45 Light;sans-serif"/>
          <w:b w:val="false"/>
          <w:color w:val="000000"/>
          <w:sz w:val="20"/>
        </w:rPr>
        <w:t>47.8%</w:t>
      </w:r>
      <w:r>
        <w:rPr>
          <w:rFonts w:ascii="Frutiger LT 45 Light;sans-serif" w:hAnsi="Frutiger LT 45 Light;sans-serif"/>
          <w:b w:val="false"/>
          <w:color w:val="000000"/>
          <w:sz w:val="20"/>
          <w:shd w:fill="FFFFFF" w:val="clear"/>
        </w:rPr>
        <w:t xml:space="preserve">, compared to the same period in the prior year. The increase was primarily driven by growth in written premiums, including contributions from the acquisitions of TWFG MGA FL and the APIA MGA programs, which generate higher commission rates, as well as continued organic growth. Corporate store acquisitions completed after </w:t>
      </w:r>
      <w:r>
        <w:rPr>
          <w:rFonts w:ascii="Frutiger LT 45 Light;sans-serif" w:hAnsi="Frutiger LT 45 Light;sans-serif"/>
          <w:b w:val="false"/>
          <w:color w:val="000000"/>
          <w:sz w:val="20"/>
        </w:rPr>
        <w:t>June 30, 2025</w:t>
      </w:r>
      <w:r>
        <w:rPr>
          <w:color w:val="000000"/>
          <w:shd w:fill="FFFFFF" w:val="clear"/>
        </w:rPr>
        <w:t xml:space="preserve"> </w:t>
      </w:r>
      <w:r>
        <w:rPr>
          <w:rFonts w:ascii="Frutiger LT 45 Light;sans-serif" w:hAnsi="Frutiger LT 45 Light;sans-serif"/>
          <w:b w:val="false"/>
          <w:color w:val="000000"/>
          <w:sz w:val="20"/>
          <w:shd w:fill="FFFFFF" w:val="clear"/>
        </w:rPr>
        <w:t>also contributed to the increase.</w:t>
      </w:r>
    </w:p>
    <w:p>
      <w:pPr>
        <w:pStyle w:val="TextBody"/>
        <w:bidi w:val="0"/>
        <w:spacing w:lineRule="auto" w:line="288" w:before="0" w:after="160"/>
        <w:jc w:val="left"/>
        <w:rPr/>
      </w:pPr>
      <w:r>
        <w:rPr>
          <w:rFonts w:ascii="Frutiger LT 45 Light;sans-serif" w:hAnsi="Frutiger LT 45 Light;sans-serif"/>
          <w:b w:val="false"/>
          <w:color w:val="000000"/>
          <w:sz w:val="20"/>
          <w:shd w:fill="FFFFFF" w:val="clear"/>
        </w:rPr>
        <w:t xml:space="preserve">Commission income for Insurance Services increased by $5.8 million, or 12.2%, representing 10.6% of the total growth for the </w:t>
      </w:r>
      <w:r>
        <w:rPr>
          <w:rFonts w:ascii="Frutiger LT 45 Light;sans-serif" w:hAnsi="Frutiger LT 45 Light;sans-serif"/>
          <w:b w:val="false"/>
          <w:color w:val="000000"/>
          <w:sz w:val="20"/>
        </w:rPr>
        <w:t>three months ended June 30, 2026,</w:t>
      </w:r>
      <w:r>
        <w:rPr>
          <w:color w:val="000000"/>
          <w:shd w:fill="FFFFFF" w:val="clear"/>
        </w:rPr>
        <w:t xml:space="preserve"> </w:t>
      </w:r>
      <w:r>
        <w:rPr>
          <w:rFonts w:ascii="Frutiger LT 45 Light;sans-serif" w:hAnsi="Frutiger LT 45 Light;sans-serif"/>
          <w:b w:val="false"/>
          <w:color w:val="000000"/>
          <w:sz w:val="20"/>
          <w:shd w:fill="FFFFFF" w:val="clear"/>
        </w:rPr>
        <w:t xml:space="preserve">compared to the same period in the prior year. Agency-in-a-Box commission income increased by $3.4 million, or 9.4%, for the three months ended </w:t>
      </w:r>
      <w:r>
        <w:rPr>
          <w:rFonts w:ascii="Frutiger LT 45 Light;sans-serif" w:hAnsi="Frutiger LT 45 Light;sans-serif"/>
          <w:b w:val="false"/>
          <w:color w:val="000000"/>
          <w:sz w:val="20"/>
        </w:rPr>
        <w:t>June 30, 2026</w:t>
      </w:r>
      <w:r>
        <w:rPr>
          <w:color w:val="000000"/>
          <w:shd w:fill="FFFFFF" w:val="clear"/>
        </w:rPr>
        <w:t xml:space="preserve"> </w:t>
      </w:r>
      <w:r>
        <w:rPr>
          <w:rFonts w:ascii="Frutiger LT 45 Light;sans-serif" w:hAnsi="Frutiger LT 45 Light;sans-serif"/>
          <w:b w:val="false"/>
          <w:color w:val="000000"/>
          <w:sz w:val="20"/>
          <w:shd w:fill="FFFFFF" w:val="clear"/>
        </w:rPr>
        <w:t xml:space="preserve">compared to the same period in the prior year mainly due to organic growth and acquisitions. Corporate Branches commission income increased by $2.4 million, or 21.2%, for the three months ended </w:t>
      </w:r>
      <w:r>
        <w:rPr>
          <w:rFonts w:ascii="Frutiger LT 45 Light;sans-serif" w:hAnsi="Frutiger LT 45 Light;sans-serif"/>
          <w:b w:val="false"/>
          <w:color w:val="000000"/>
          <w:sz w:val="20"/>
        </w:rPr>
        <w:t>June 30, 2026</w:t>
      </w:r>
      <w:r>
        <w:rPr>
          <w:color w:val="000000"/>
          <w:shd w:fill="FFFFFF" w:val="clear"/>
        </w:rPr>
        <w:t xml:space="preserve"> </w:t>
      </w:r>
      <w:r>
        <w:rPr>
          <w:rFonts w:ascii="Frutiger LT 45 Light;sans-serif" w:hAnsi="Frutiger LT 45 Light;sans-serif"/>
          <w:b w:val="false"/>
          <w:color w:val="000000"/>
          <w:sz w:val="20"/>
          <w:shd w:fill="FFFFFF" w:val="clear"/>
        </w:rPr>
        <w:t>compared to the same period in the prior year. The increase was primarily driven by the acquisitions completed after June 30, 2025.</w:t>
      </w:r>
    </w:p>
    <w:p>
      <w:pPr>
        <w:pStyle w:val="TextBody"/>
        <w:bidi w:val="0"/>
        <w:spacing w:lineRule="auto" w:line="288" w:before="0" w:after="160"/>
        <w:jc w:val="left"/>
        <w:rPr/>
      </w:pPr>
      <w:r>
        <w:rPr>
          <w:rFonts w:ascii="Frutiger LT 45 Light;sans-serif" w:hAnsi="Frutiger LT 45 Light;sans-serif"/>
          <w:b w:val="false"/>
          <w:color w:val="000000"/>
          <w:sz w:val="20"/>
          <w:shd w:fill="FFFFFF" w:val="clear"/>
        </w:rPr>
        <w:t xml:space="preserve">TWFG MGA commission income for the three months ended </w:t>
      </w:r>
      <w:r>
        <w:rPr>
          <w:rFonts w:ascii="Frutiger LT 45 Light;sans-serif" w:hAnsi="Frutiger LT 45 Light;sans-serif"/>
          <w:b w:val="false"/>
          <w:color w:val="000000"/>
          <w:sz w:val="20"/>
        </w:rPr>
        <w:t>June 30, 2026</w:t>
      </w:r>
      <w:r>
        <w:rPr>
          <w:color w:val="000000"/>
          <w:shd w:fill="FFFFFF" w:val="clear"/>
        </w:rPr>
        <w:t xml:space="preserve"> </w:t>
      </w:r>
      <w:r>
        <w:rPr>
          <w:rFonts w:ascii="Frutiger LT 45 Light;sans-serif" w:hAnsi="Frutiger LT 45 Light;sans-serif"/>
          <w:b w:val="false"/>
          <w:color w:val="000000"/>
          <w:sz w:val="20"/>
          <w:shd w:fill="FFFFFF" w:val="clear"/>
        </w:rPr>
        <w:t>increased by $20.3 million, or 290.2%, representing 37.2% of the total growth, as compared to the same period in the prior year. This increase was primarily driven by the acquisitions and higher commission rates. TWFG MGA FL contributed $16.2 million of the total increase of $20.3 million.</w:t>
      </w:r>
    </w:p>
    <w:p>
      <w:pPr>
        <w:pStyle w:val="TextBody"/>
        <w:bidi w:val="0"/>
        <w:spacing w:lineRule="auto" w:line="288" w:before="0" w:after="160"/>
        <w:jc w:val="left"/>
        <w:rPr>
          <w:rFonts w:ascii="Frutiger LT 45 Light;sans-serif" w:hAnsi="Frutiger LT 45 Light;sans-serif"/>
          <w:b w:val="false"/>
          <w:i/>
          <w:color w:val="000000"/>
          <w:sz w:val="20"/>
          <w:shd w:fill="FFFFFF" w:val="clear"/>
        </w:rPr>
      </w:pPr>
      <w:r>
        <w:rPr>
          <w:rFonts w:ascii="Frutiger LT 45 Light;sans-serif" w:hAnsi="Frutiger LT 45 Light;sans-serif"/>
          <w:b w:val="false"/>
          <w:i/>
          <w:color w:val="000000"/>
          <w:sz w:val="20"/>
          <w:shd w:fill="FFFFFF" w:val="clear"/>
        </w:rPr>
        <w:t>Contingent income</w:t>
      </w:r>
    </w:p>
    <w:p>
      <w:pPr>
        <w:pStyle w:val="TextBody"/>
        <w:bidi w:val="0"/>
        <w:spacing w:lineRule="auto" w:line="288" w:before="0" w:after="160"/>
        <w:jc w:val="left"/>
        <w:rPr>
          <w:rFonts w:ascii="Frutiger LT 45 Light;sans-serif" w:hAnsi="Frutiger LT 45 Light;sans-serif"/>
          <w:b w:val="false"/>
          <w:color w:val="000000"/>
          <w:sz w:val="20"/>
          <w:shd w:fill="FFFFFF" w:val="clear"/>
        </w:rPr>
      </w:pPr>
      <w:r>
        <w:rPr>
          <w:rFonts w:ascii="Frutiger LT 45 Light;sans-serif" w:hAnsi="Frutiger LT 45 Light;sans-serif"/>
          <w:b w:val="false"/>
          <w:color w:val="000000"/>
          <w:sz w:val="20"/>
          <w:shd w:fill="FFFFFF" w:val="clear"/>
        </w:rPr>
        <w:t xml:space="preserve">Contingent income for the three months ended June 30, 2026 was $2.2 million, reflecting a $0.1 million, or 6.6%, increase compared to the same period in the prior year. Contingent income is unpredictable and dependent upon the target financial and performance metrics established by the insurance carriers. </w:t>
      </w:r>
    </w:p>
    <w:p>
      <w:pPr>
        <w:pStyle w:val="TextBody"/>
        <w:bidi w:val="0"/>
        <w:spacing w:lineRule="auto" w:line="288" w:before="0" w:after="160"/>
        <w:jc w:val="left"/>
        <w:rPr>
          <w:rFonts w:ascii="Frutiger LT 45 Light;sans-serif" w:hAnsi="Frutiger LT 45 Light;sans-serif"/>
          <w:b w:val="false"/>
          <w:i/>
          <w:color w:val="000000"/>
          <w:sz w:val="20"/>
          <w:shd w:fill="FFFFFF" w:val="clear"/>
        </w:rPr>
      </w:pPr>
      <w:r>
        <w:rPr>
          <w:rFonts w:ascii="Frutiger LT 45 Light;sans-serif" w:hAnsi="Frutiger LT 45 Light;sans-serif"/>
          <w:b w:val="false"/>
          <w:i/>
          <w:color w:val="000000"/>
          <w:sz w:val="20"/>
          <w:shd w:fill="FFFFFF" w:val="clear"/>
        </w:rPr>
        <w:t>Fee income</w:t>
      </w:r>
    </w:p>
    <w:p>
      <w:pPr>
        <w:pStyle w:val="TextBody"/>
        <w:bidi w:val="0"/>
        <w:spacing w:lineRule="auto" w:line="288" w:before="0" w:after="160"/>
        <w:jc w:val="left"/>
        <w:rPr>
          <w:rFonts w:ascii="Frutiger LT 45 Light;sans-serif" w:hAnsi="Frutiger LT 45 Light;sans-serif"/>
          <w:b w:val="false"/>
          <w:color w:val="000000"/>
          <w:sz w:val="20"/>
          <w:shd w:fill="FFFFFF" w:val="clear"/>
        </w:rPr>
      </w:pPr>
      <w:r>
        <w:rPr>
          <w:rFonts w:ascii="Frutiger LT 45 Light;sans-serif" w:hAnsi="Frutiger LT 45 Light;sans-serif"/>
          <w:b w:val="false"/>
          <w:color w:val="000000"/>
          <w:sz w:val="20"/>
          <w:shd w:fill="FFFFFF" w:val="clear"/>
        </w:rPr>
        <w:t>The following table presents the disaggregation of our fee income by major sources (in thousands):</w:t>
      </w:r>
    </w:p>
    <w:tbl>
      <w:tblPr>
        <w:tblW w:w="6769" w:type="dxa"/>
        <w:jc w:val="left"/>
        <w:tblInd w:w="0" w:type="dxa"/>
        <w:tblLayout w:type="fixed"/>
        <w:tblCellMar>
          <w:top w:w="28" w:type="dxa"/>
          <w:left w:w="28" w:type="dxa"/>
          <w:bottom w:w="28" w:type="dxa"/>
          <w:right w:w="28" w:type="dxa"/>
        </w:tblCellMar>
      </w:tblPr>
      <w:tblGrid>
        <w:gridCol w:w="608"/>
        <w:gridCol w:w="534"/>
        <w:gridCol w:w="537"/>
        <w:gridCol w:w="211"/>
        <w:gridCol w:w="616"/>
        <w:gridCol w:w="109"/>
        <w:gridCol w:w="109"/>
        <w:gridCol w:w="109"/>
        <w:gridCol w:w="109"/>
        <w:gridCol w:w="243"/>
        <w:gridCol w:w="243"/>
        <w:gridCol w:w="578"/>
        <w:gridCol w:w="109"/>
        <w:gridCol w:w="109"/>
        <w:gridCol w:w="109"/>
        <w:gridCol w:w="211"/>
        <w:gridCol w:w="616"/>
        <w:gridCol w:w="109"/>
        <w:gridCol w:w="109"/>
        <w:gridCol w:w="109"/>
        <w:gridCol w:w="109"/>
        <w:gridCol w:w="295"/>
        <w:gridCol w:w="232"/>
        <w:gridCol w:w="646"/>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0" w:type="dxa"/>
            <w:gridSpan w:val="21"/>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Three Months Ended June 30,</w:t>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2025</w:t>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 of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 of Total</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Policy fees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41 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33 </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Branch fees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36 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43 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License fees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20 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17 </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TPA fees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6"/>
              </w:rPr>
            </w:pPr>
            <w:r>
              <w:rPr>
                <w:rFonts w:ascii="Frutiger LT 45 Light;sans-serif" w:hAnsi="Frutiger LT 45 Light;sans-serif"/>
                <w:b/>
                <w:color w:val="000000"/>
                <w:sz w:val="16"/>
              </w:rPr>
              <w:t>Total fee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100 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100 </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r>
      <w:tr>
        <w:trPr/>
        <w:tc>
          <w:tcPr>
            <w:tcW w:w="167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Frutiger LT 45 Light;sans-serif" w:hAnsi="Frutiger LT 45 Light;sans-serif"/>
          <w:b w:val="false"/>
          <w:color w:val="000000"/>
          <w:sz w:val="20"/>
          <w:shd w:fill="FFFFFF" w:val="clear"/>
        </w:rPr>
        <w:t xml:space="preserve">Fee income for the three months ended June 30, 2026 </w:t>
      </w:r>
      <w:r>
        <w:rPr>
          <w:rFonts w:ascii="Frutiger LT 45 Light;sans-serif" w:hAnsi="Frutiger LT 45 Light;sans-serif"/>
          <w:b w:val="false"/>
          <w:color w:val="000000"/>
          <w:sz w:val="20"/>
        </w:rPr>
        <w:t>increased</w:t>
      </w:r>
      <w:r>
        <w:rPr>
          <w:color w:val="000000"/>
          <w:shd w:fill="FFFFFF" w:val="clear"/>
        </w:rPr>
        <w:t xml:space="preserve"> </w:t>
      </w:r>
      <w:r>
        <w:rPr>
          <w:rFonts w:ascii="Frutiger LT 45 Light;sans-serif" w:hAnsi="Frutiger LT 45 Light;sans-serif"/>
          <w:b w:val="false"/>
          <w:color w:val="000000"/>
          <w:sz w:val="20"/>
          <w:shd w:fill="FFFFFF" w:val="clear"/>
        </w:rPr>
        <w:t>by $0.8 million, or 25.1%, compared to the same period in the prior year. Changes to individual components of fee income are discussed in detail below:</w:t>
      </w:r>
    </w:p>
    <w:p>
      <w:pPr>
        <w:pStyle w:val="TextBody"/>
        <w:bidi w:val="0"/>
        <w:spacing w:lineRule="auto" w:line="288" w:before="0" w:after="160"/>
        <w:jc w:val="left"/>
        <w:rPr/>
      </w:pPr>
      <w:r>
        <w:rPr>
          <w:color w:val="000000"/>
          <w:shd w:fill="FFFFFF" w:val="clear"/>
        </w:rPr>
        <w:t>•</w:t>
      </w:r>
      <w:r>
        <w:rPr>
          <w:rFonts w:ascii="Frutiger LT 45 Light;sans-serif" w:hAnsi="Frutiger LT 45 Light;sans-serif"/>
          <w:b w:val="false"/>
          <w:color w:val="000000"/>
          <w:sz w:val="20"/>
          <w:shd w:fill="FFFFFF" w:val="clear"/>
        </w:rPr>
        <w:t xml:space="preserve">Policy fees for the three months ended June 30, 2026 </w:t>
      </w:r>
      <w:r>
        <w:rPr>
          <w:rFonts w:ascii="Frutiger LT 45 Light;sans-serif" w:hAnsi="Frutiger LT 45 Light;sans-serif"/>
          <w:b w:val="false"/>
          <w:color w:val="000000"/>
          <w:sz w:val="20"/>
        </w:rPr>
        <w:t>increased</w:t>
      </w:r>
      <w:r>
        <w:rPr>
          <w:color w:val="000000"/>
          <w:shd w:fill="FFFFFF" w:val="clear"/>
        </w:rPr>
        <w:t xml:space="preserve"> </w:t>
      </w:r>
      <w:r>
        <w:rPr>
          <w:rFonts w:ascii="Frutiger LT 45 Light;sans-serif" w:hAnsi="Frutiger LT 45 Light;sans-serif"/>
          <w:b w:val="false"/>
          <w:color w:val="000000"/>
          <w:sz w:val="20"/>
          <w:shd w:fill="FFFFFF" w:val="clear"/>
        </w:rPr>
        <w:t>by $0.6 million, or 56.9%, compared to the same period in the prior year. The increase in policy fees was primarily due to higher policy count driven by renewal and new business growth.</w:t>
      </w:r>
    </w:p>
    <w:p>
      <w:pPr>
        <w:pStyle w:val="TextBody"/>
        <w:bidi w:val="0"/>
        <w:spacing w:lineRule="auto" w:line="288" w:before="0" w:after="160"/>
        <w:jc w:val="left"/>
        <w:rPr/>
      </w:pPr>
      <w:r>
        <w:rPr>
          <w:color w:val="000000"/>
          <w:shd w:fill="FFFFFF" w:val="clear"/>
        </w:rPr>
        <w:t>•</w:t>
      </w:r>
      <w:r>
        <w:rPr>
          <w:rFonts w:ascii="Frutiger LT 45 Light;sans-serif" w:hAnsi="Frutiger LT 45 Light;sans-serif"/>
          <w:b w:val="false"/>
          <w:color w:val="000000"/>
          <w:sz w:val="20"/>
          <w:shd w:fill="FFFFFF" w:val="clear"/>
        </w:rPr>
        <w:t xml:space="preserve">Branch fees for the three months ended June 30, 2026 </w:t>
      </w:r>
      <w:r>
        <w:rPr>
          <w:rFonts w:ascii="Frutiger LT 45 Light;sans-serif" w:hAnsi="Frutiger LT 45 Light;sans-serif"/>
          <w:b w:val="false"/>
          <w:color w:val="000000"/>
          <w:sz w:val="20"/>
        </w:rPr>
        <w:t>increased</w:t>
      </w:r>
      <w:r>
        <w:rPr>
          <w:color w:val="000000"/>
          <w:shd w:fill="FFFFFF" w:val="clear"/>
        </w:rPr>
        <w:t xml:space="preserve"> </w:t>
      </w:r>
      <w:r>
        <w:rPr>
          <w:rFonts w:ascii="Frutiger LT 45 Light;sans-serif" w:hAnsi="Frutiger LT 45 Light;sans-serif"/>
          <w:b w:val="false"/>
          <w:color w:val="000000"/>
          <w:sz w:val="20"/>
          <w:shd w:fill="FFFFFF" w:val="clear"/>
        </w:rPr>
        <w:t>by $0.1 million, or 4.8%, compared to the same period in the prior year. The increase in branch fees was primarily driven by increased agent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7955"/>
                <wp:effectExtent l="0" t="0" r="0" b="0"/>
                <wp:wrapNone/>
                <wp:docPr id="30" name="Frame3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18</w:t>
                      </w:r>
                    </w:p>
                  </w:txbxContent>
                </v:textbox>
                <w10:wrap type="none"/>
              </v:rect>
            </w:pict>
          </mc:Fallback>
        </mc:AlternateContent>
      </w:r>
    </w:p>
    <w:p>
      <w:pPr>
        <w:pStyle w:val="TextBody"/>
        <w:bidi w:val="0"/>
        <w:spacing w:lineRule="auto" w:line="288" w:before="0" w:after="160"/>
        <w:jc w:val="left"/>
        <w:rPr/>
      </w:pPr>
      <w:hyperlink w:anchor="i54bb4eec0dab4063b7a5a162c0b6d974_7">
        <w:r>
          <w:rPr>
            <w:rStyle w:val="InternetLink"/>
          </w:rPr>
          <w:t xml:space="preserve">Table </w:t>
        </w:r>
      </w:hyperlink>
      <w:hyperlink w:anchor="i54bb4eec0dab4063b7a5a162c0b6d974_7">
        <w:r>
          <w:rPr>
            <w:rStyle w:val="InternetLink"/>
          </w:rPr>
          <w:t>of</w:t>
        </w:r>
      </w:hyperlink>
      <w:hyperlink w:anchor="i54bb4eec0dab4063b7a5a162c0b6d974_7">
        <w:r>
          <w:rPr>
            <w:rStyle w:val="InternetLink"/>
          </w:rPr>
          <w:t xml:space="preserve"> Contents</w:t>
        </w:r>
      </w:hyperlink>
    </w:p>
    <w:p>
      <w:pPr>
        <w:pStyle w:val="TextBody"/>
        <w:bidi w:val="0"/>
        <w:spacing w:lineRule="auto" w:line="288" w:before="0" w:after="160"/>
        <w:jc w:val="left"/>
        <w:rPr/>
      </w:pPr>
      <w:r>
        <w:rPr>
          <w:color w:val="000000"/>
          <w:shd w:fill="FFFFFF" w:val="clear"/>
        </w:rPr>
        <w:t>•</w:t>
      </w:r>
      <w:r>
        <w:rPr>
          <w:rFonts w:ascii="Frutiger LT 45 Light;sans-serif" w:hAnsi="Frutiger LT 45 Light;sans-serif"/>
          <w:b w:val="false"/>
          <w:color w:val="000000"/>
          <w:sz w:val="20"/>
          <w:shd w:fill="FFFFFF" w:val="clear"/>
        </w:rPr>
        <w:t xml:space="preserve">License fees for the three months ended June 30, 2026 </w:t>
      </w:r>
      <w:r>
        <w:rPr>
          <w:rFonts w:ascii="Frutiger LT 45 Light;sans-serif" w:hAnsi="Frutiger LT 45 Light;sans-serif"/>
          <w:b w:val="false"/>
          <w:color w:val="000000"/>
          <w:sz w:val="20"/>
        </w:rPr>
        <w:t>increased</w:t>
      </w:r>
      <w:r>
        <w:rPr>
          <w:color w:val="000000"/>
          <w:shd w:fill="FFFFFF" w:val="clear"/>
        </w:rPr>
        <w:t xml:space="preserve"> </w:t>
      </w:r>
      <w:r>
        <w:rPr>
          <w:rFonts w:ascii="Frutiger LT 45 Light;sans-serif" w:hAnsi="Frutiger LT 45 Light;sans-serif"/>
          <w:b w:val="false"/>
          <w:color w:val="000000"/>
          <w:sz w:val="20"/>
          <w:shd w:fill="FFFFFF" w:val="clear"/>
        </w:rPr>
        <w:t>by $0.3 million, or 47.0%, compared to the same period in the prior year. The increase reflects system developments to support expanded state footprints.</w:t>
      </w:r>
    </w:p>
    <w:p>
      <w:pPr>
        <w:pStyle w:val="TextBody"/>
        <w:bidi w:val="0"/>
        <w:spacing w:lineRule="auto" w:line="288" w:before="0" w:after="160"/>
        <w:jc w:val="left"/>
        <w:rPr/>
      </w:pPr>
      <w:r>
        <w:rPr>
          <w:color w:val="000000"/>
          <w:shd w:fill="FFFFFF" w:val="clear"/>
        </w:rPr>
        <w:t>•</w:t>
      </w:r>
      <w:r>
        <w:rPr>
          <w:rFonts w:ascii="Frutiger LT 45 Light;sans-serif" w:hAnsi="Frutiger LT 45 Light;sans-serif"/>
          <w:b w:val="false"/>
          <w:color w:val="000000"/>
          <w:sz w:val="20"/>
          <w:shd w:fill="FFFFFF" w:val="clear"/>
        </w:rPr>
        <w:t xml:space="preserve">TPA fees for the three months ended June 30, 2026 </w:t>
      </w:r>
      <w:r>
        <w:rPr>
          <w:rFonts w:ascii="Frutiger LT 45 Light;sans-serif" w:hAnsi="Frutiger LT 45 Light;sans-serif"/>
          <w:b w:val="false"/>
          <w:color w:val="000000"/>
          <w:sz w:val="20"/>
        </w:rPr>
        <w:t>decreased</w:t>
      </w:r>
      <w:r>
        <w:rPr>
          <w:color w:val="000000"/>
          <w:shd w:fill="FFFFFF" w:val="clear"/>
        </w:rPr>
        <w:t xml:space="preserve"> </w:t>
      </w:r>
      <w:r>
        <w:rPr>
          <w:rFonts w:ascii="Frutiger LT 45 Light;sans-serif" w:hAnsi="Frutiger LT 45 Light;sans-serif"/>
          <w:b w:val="false"/>
          <w:color w:val="000000"/>
          <w:sz w:val="20"/>
          <w:shd w:fill="FFFFFF" w:val="clear"/>
        </w:rPr>
        <w:t xml:space="preserve">by $0.1 million, or </w:t>
      </w:r>
      <w:r>
        <w:rPr>
          <w:rFonts w:ascii="Frutiger LT 45 Light;sans-serif" w:hAnsi="Frutiger LT 45 Light;sans-serif"/>
          <w:b w:val="false"/>
          <w:color w:val="000000"/>
          <w:sz w:val="20"/>
        </w:rPr>
        <w:t>40.8%</w:t>
      </w:r>
      <w:r>
        <w:rPr>
          <w:rFonts w:ascii="Frutiger LT 45 Light;sans-serif" w:hAnsi="Frutiger LT 45 Light;sans-serif"/>
          <w:b w:val="false"/>
          <w:color w:val="000000"/>
          <w:sz w:val="20"/>
          <w:shd w:fill="FFFFFF" w:val="clear"/>
        </w:rPr>
        <w:t xml:space="preserve">, </w:t>
      </w:r>
      <w:r>
        <w:rPr>
          <w:rFonts w:ascii="Frutiger LT 45 Light;sans-serif" w:hAnsi="Frutiger LT 45 Light;sans-serif"/>
          <w:b w:val="false"/>
          <w:color w:val="000000"/>
          <w:sz w:val="20"/>
        </w:rPr>
        <w:t>compared to the same period in the prior year. The decrease in TPA fees was due to the decreased volume in claims processed by TWFG MGA.</w:t>
      </w:r>
    </w:p>
    <w:p>
      <w:pPr>
        <w:pStyle w:val="TextBody"/>
        <w:bidi w:val="0"/>
        <w:spacing w:lineRule="auto" w:line="288" w:before="0" w:after="160"/>
        <w:jc w:val="left"/>
        <w:rPr>
          <w:rFonts w:ascii="Frutiger LT 45 Light;sans-serif" w:hAnsi="Frutiger LT 45 Light;sans-serif"/>
          <w:b w:val="false"/>
          <w:i/>
          <w:color w:val="000000"/>
          <w:sz w:val="20"/>
        </w:rPr>
      </w:pPr>
      <w:r>
        <w:rPr>
          <w:rFonts w:ascii="Frutiger LT 45 Light;sans-serif" w:hAnsi="Frutiger LT 45 Light;sans-serif"/>
          <w:b w:val="false"/>
          <w:i/>
          <w:color w:val="000000"/>
          <w:sz w:val="20"/>
        </w:rPr>
        <w:t>Other income</w:t>
      </w:r>
    </w:p>
    <w:p>
      <w:pPr>
        <w:pStyle w:val="TextBody"/>
        <w:bidi w:val="0"/>
        <w:spacing w:lineRule="auto" w:line="288" w:before="0" w:after="160"/>
        <w:jc w:val="left"/>
        <w:rPr/>
      </w:pPr>
      <w:r>
        <w:rPr>
          <w:rFonts w:ascii="Frutiger LT 45 Light;sans-serif" w:hAnsi="Frutiger LT 45 Light;sans-serif"/>
          <w:b w:val="false"/>
          <w:color w:val="000000"/>
          <w:sz w:val="20"/>
        </w:rPr>
        <w:t>Other</w:t>
      </w:r>
      <w:r>
        <w:rPr>
          <w:color w:val="000000"/>
          <w:shd w:fill="FFFFFF" w:val="clear"/>
        </w:rPr>
        <w:t xml:space="preserve"> </w:t>
      </w:r>
      <w:r>
        <w:rPr>
          <w:rFonts w:ascii="Frutiger LT 45 Light;sans-serif" w:hAnsi="Frutiger LT 45 Light;sans-serif"/>
          <w:b w:val="false"/>
          <w:color w:val="000000"/>
          <w:sz w:val="20"/>
          <w:shd w:fill="FFFFFF" w:val="clear"/>
        </w:rPr>
        <w:t>income for the t</w:t>
      </w:r>
      <w:r>
        <w:rPr>
          <w:rFonts w:ascii="Frutiger LT 45 Light;sans-serif" w:hAnsi="Frutiger LT 45 Light;sans-serif"/>
          <w:b w:val="false"/>
          <w:color w:val="000000"/>
          <w:sz w:val="20"/>
        </w:rPr>
        <w:t xml:space="preserve">hree months ended </w:t>
      </w:r>
      <w:r>
        <w:rPr>
          <w:rFonts w:ascii="Frutiger LT 45 Light;sans-serif" w:hAnsi="Frutiger LT 45 Light;sans-serif"/>
          <w:b w:val="false"/>
          <w:color w:val="000000"/>
          <w:sz w:val="20"/>
          <w:shd w:fill="FFFFFF" w:val="clear"/>
        </w:rPr>
        <w:t xml:space="preserve">June 30, 2026 was </w:t>
      </w:r>
      <w:r>
        <w:rPr>
          <w:rFonts w:ascii="Frutiger LT 45 Light;sans-serif" w:hAnsi="Frutiger LT 45 Light;sans-serif"/>
          <w:b w:val="false"/>
          <w:color w:val="000000"/>
          <w:sz w:val="20"/>
        </w:rPr>
        <w:t>$0.5 million</w:t>
      </w:r>
      <w:r>
        <w:rPr>
          <w:color w:val="000000"/>
          <w:shd w:fill="FFFFFF" w:val="clear"/>
        </w:rPr>
        <w:t xml:space="preserve"> </w:t>
      </w:r>
      <w:r>
        <w:rPr>
          <w:rFonts w:ascii="Frutiger LT 45 Light;sans-serif" w:hAnsi="Frutiger LT 45 Light;sans-serif"/>
          <w:b w:val="false"/>
          <w:color w:val="000000"/>
          <w:sz w:val="20"/>
          <w:shd w:fill="FFFFFF" w:val="clear"/>
        </w:rPr>
        <w:t xml:space="preserve">compared to </w:t>
      </w:r>
      <w:r>
        <w:rPr>
          <w:rFonts w:ascii="Frutiger LT 45 Light;sans-serif" w:hAnsi="Frutiger LT 45 Light;sans-serif"/>
          <w:b w:val="false"/>
          <w:color w:val="000000"/>
          <w:sz w:val="20"/>
        </w:rPr>
        <w:t>$0.4 million</w:t>
      </w:r>
      <w:r>
        <w:rPr>
          <w:color w:val="000000"/>
          <w:shd w:fill="FFFFFF" w:val="clear"/>
        </w:rPr>
        <w:t xml:space="preserve"> </w:t>
      </w:r>
      <w:r>
        <w:rPr>
          <w:rFonts w:ascii="Frutiger LT 45 Light;sans-serif" w:hAnsi="Frutiger LT 45 Light;sans-serif"/>
          <w:b w:val="false"/>
          <w:color w:val="000000"/>
          <w:sz w:val="20"/>
          <w:shd w:fill="FFFFFF" w:val="clear"/>
        </w:rPr>
        <w:t xml:space="preserve">in the same period in the prior year. </w:t>
      </w:r>
      <w:r>
        <w:rPr>
          <w:rFonts w:ascii="Frutiger LT 45 Light;sans-serif" w:hAnsi="Frutiger LT 45 Light;sans-serif"/>
          <w:b w:val="false"/>
          <w:color w:val="000000"/>
          <w:sz w:val="20"/>
        </w:rPr>
        <w:t>The increase was primarily driven by premium financing income.</w:t>
      </w:r>
    </w:p>
    <w:p>
      <w:pPr>
        <w:pStyle w:val="TextBody"/>
        <w:bidi w:val="0"/>
        <w:spacing w:lineRule="auto" w:line="288" w:before="0" w:after="160"/>
        <w:jc w:val="left"/>
        <w:rPr>
          <w:rFonts w:ascii="Frutiger LT 45 Light;sans-serif" w:hAnsi="Frutiger LT 45 Light;sans-serif"/>
          <w:b w:val="false"/>
          <w:i/>
          <w:color w:val="000000"/>
          <w:sz w:val="20"/>
        </w:rPr>
      </w:pPr>
      <w:r>
        <w:rPr>
          <w:rFonts w:ascii="Frutiger LT 45 Light;sans-serif" w:hAnsi="Frutiger LT 45 Light;sans-serif"/>
          <w:b w:val="false"/>
          <w:i/>
          <w:color w:val="000000"/>
          <w:sz w:val="20"/>
        </w:rPr>
        <w:t>Commission expense</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The following table presents the disaggregation of our commission expense by offerings (in thousands):</w:t>
      </w:r>
    </w:p>
    <w:tbl>
      <w:tblPr>
        <w:tblW w:w="7941" w:type="dxa"/>
        <w:jc w:val="left"/>
        <w:tblInd w:w="0" w:type="dxa"/>
        <w:tblLayout w:type="fixed"/>
        <w:tblCellMar>
          <w:top w:w="28" w:type="dxa"/>
          <w:left w:w="28" w:type="dxa"/>
          <w:bottom w:w="28" w:type="dxa"/>
          <w:right w:w="28" w:type="dxa"/>
        </w:tblCellMar>
      </w:tblPr>
      <w:tblGrid>
        <w:gridCol w:w="965"/>
        <w:gridCol w:w="850"/>
        <w:gridCol w:w="855"/>
        <w:gridCol w:w="211"/>
        <w:gridCol w:w="721"/>
        <w:gridCol w:w="109"/>
        <w:gridCol w:w="109"/>
        <w:gridCol w:w="109"/>
        <w:gridCol w:w="109"/>
        <w:gridCol w:w="243"/>
        <w:gridCol w:w="243"/>
        <w:gridCol w:w="578"/>
        <w:gridCol w:w="109"/>
        <w:gridCol w:w="109"/>
        <w:gridCol w:w="109"/>
        <w:gridCol w:w="211"/>
        <w:gridCol w:w="721"/>
        <w:gridCol w:w="109"/>
        <w:gridCol w:w="109"/>
        <w:gridCol w:w="109"/>
        <w:gridCol w:w="109"/>
        <w:gridCol w:w="266"/>
        <w:gridCol w:w="232"/>
        <w:gridCol w:w="646"/>
      </w:tblGrid>
      <w:tr>
        <w:trPr/>
        <w:tc>
          <w:tcPr>
            <w:tcW w:w="96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1" w:type="dxa"/>
            <w:gridSpan w:val="21"/>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Three Months Ended June 30,</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2025</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 of Total</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Insurance Services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Agency-in-a-Box</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29,945 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70 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28,013 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82 </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Corporate Branches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5 </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Total Insurance Services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31,481 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74 </w:t>
            </w:r>
          </w:p>
        </w:tc>
        <w:tc>
          <w:tcPr>
            <w:tcW w:w="5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29,581 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87 </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TWFG MGA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26 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13 </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6"/>
              </w:rPr>
            </w:pPr>
            <w:r>
              <w:rPr>
                <w:rFonts w:ascii="Frutiger LT 45 Light;sans-serif" w:hAnsi="Frutiger LT 45 Light;sans-serif"/>
                <w:b/>
                <w:color w:val="000000"/>
                <w:sz w:val="16"/>
              </w:rPr>
              <w:t xml:space="preserve">Total commission expense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42,491 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100 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34,151 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100 </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r>
      <w:tr>
        <w:trPr/>
        <w:tc>
          <w:tcPr>
            <w:tcW w:w="267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Frutiger LT 45 Light;sans-serif" w:hAnsi="Frutiger LT 45 Light;sans-serif"/>
          <w:b w:val="false"/>
          <w:color w:val="000000"/>
          <w:sz w:val="20"/>
        </w:rPr>
        <w:t>Total commission expense f</w:t>
      </w:r>
      <w:r>
        <w:rPr>
          <w:rFonts w:ascii="Frutiger LT 45 Light;sans-serif" w:hAnsi="Frutiger LT 45 Light;sans-serif"/>
          <w:b w:val="false"/>
          <w:color w:val="000000"/>
          <w:sz w:val="20"/>
          <w:shd w:fill="FFFFFF" w:val="clear"/>
        </w:rPr>
        <w:t xml:space="preserve">or the three months ended June 30, 2026 </w:t>
      </w:r>
      <w:r>
        <w:rPr>
          <w:rFonts w:ascii="Frutiger LT 45 Light;sans-serif" w:hAnsi="Frutiger LT 45 Light;sans-serif"/>
          <w:b w:val="false"/>
          <w:color w:val="000000"/>
          <w:sz w:val="20"/>
        </w:rPr>
        <w:t>increased</w:t>
      </w:r>
      <w:r>
        <w:rPr>
          <w:color w:val="000000"/>
          <w:shd w:fill="FFFFFF" w:val="clear"/>
        </w:rPr>
        <w:t xml:space="preserve"> </w:t>
      </w:r>
      <w:r>
        <w:rPr>
          <w:rFonts w:ascii="Frutiger LT 45 Light;sans-serif" w:hAnsi="Frutiger LT 45 Light;sans-serif"/>
          <w:b w:val="false"/>
          <w:color w:val="000000"/>
          <w:sz w:val="20"/>
          <w:shd w:fill="FFFFFF" w:val="clear"/>
        </w:rPr>
        <w:t>by $8.3 million, or 24.4% compared to the same period in the prior year. The increase was primarily due to the increased business growth combined with the overall shift in business mix. See commission income discussion above for additional information regarding the driver of changes.</w:t>
      </w:r>
    </w:p>
    <w:p>
      <w:pPr>
        <w:pStyle w:val="TextBody"/>
        <w:bidi w:val="0"/>
        <w:spacing w:lineRule="auto" w:line="288" w:before="0" w:after="160"/>
        <w:jc w:val="left"/>
        <w:rPr/>
      </w:pPr>
      <w:r>
        <w:rPr>
          <w:rFonts w:ascii="Frutiger LT 45 Light;sans-serif" w:hAnsi="Frutiger LT 45 Light;sans-serif"/>
          <w:b w:val="false"/>
          <w:color w:val="000000"/>
          <w:sz w:val="20"/>
          <w:shd w:fill="FFFFFF" w:val="clear"/>
        </w:rPr>
        <w:t xml:space="preserve">Commission expense for Insurance Services grew by $1.9 million, or </w:t>
      </w:r>
      <w:r>
        <w:rPr>
          <w:rFonts w:ascii="Frutiger LT 45 Light;sans-serif" w:hAnsi="Frutiger LT 45 Light;sans-serif"/>
          <w:b w:val="false"/>
          <w:color w:val="000000"/>
          <w:sz w:val="20"/>
        </w:rPr>
        <w:t>6.4%</w:t>
      </w:r>
      <w:r>
        <w:rPr>
          <w:rFonts w:ascii="Frutiger LT 45 Light;sans-serif" w:hAnsi="Frutiger LT 45 Light;sans-serif"/>
          <w:b w:val="false"/>
          <w:color w:val="000000"/>
          <w:sz w:val="20"/>
          <w:shd w:fill="FFFFFF" w:val="clear"/>
        </w:rPr>
        <w:t xml:space="preserve">, for the three months ended June 30, 2026 compared to the same period in the prior year. Agency-in-a-Box commission expense increased by $1.9 million, or 6.9%, for the three months ended June 30, 2026 compared to the same period in the prior year. The increase was primarily driven by the increase in our business. </w:t>
      </w:r>
      <w:bookmarkStart w:id="1" w:name="ie8615d37a1004fe6b95992c2ddc2ee45_111819"/>
      <w:bookmarkEnd w:id="1"/>
      <w:r>
        <w:rPr>
          <w:rFonts w:ascii="Frutiger LT 45 Light;sans-serif" w:hAnsi="Frutiger LT 45 Light;sans-serif"/>
          <w:b w:val="false"/>
          <w:color w:val="000000"/>
          <w:sz w:val="20"/>
          <w:shd w:fill="FFFFFF" w:val="clear"/>
        </w:rPr>
        <w:t xml:space="preserve">Corporate Branches commission expense for the three months ended June 30, 2026 was comparable to the same period in the prior year. The expenses of our Corporate Branches are primarily salaries and benefits, and are primarily fixed expenses, which are not directly related to commission income or written premium. </w:t>
      </w:r>
    </w:p>
    <w:p>
      <w:pPr>
        <w:pStyle w:val="TextBody"/>
        <w:bidi w:val="0"/>
        <w:spacing w:lineRule="auto" w:line="288" w:before="0" w:after="160"/>
        <w:jc w:val="left"/>
        <w:rPr/>
      </w:pPr>
      <w:r>
        <w:rPr>
          <w:rFonts w:ascii="Frutiger LT 45 Light;sans-serif" w:hAnsi="Frutiger LT 45 Light;sans-serif"/>
          <w:b w:val="false"/>
          <w:color w:val="000000"/>
          <w:sz w:val="20"/>
          <w:shd w:fill="FFFFFF" w:val="clear"/>
        </w:rPr>
        <w:t xml:space="preserve">TWFG MGA commission expense for the three months ended June 30, 2026 </w:t>
      </w:r>
      <w:r>
        <w:rPr>
          <w:rFonts w:ascii="Frutiger LT 45 Light;sans-serif" w:hAnsi="Frutiger LT 45 Light;sans-serif"/>
          <w:b w:val="false"/>
          <w:color w:val="000000"/>
          <w:sz w:val="20"/>
        </w:rPr>
        <w:t>increased</w:t>
      </w:r>
      <w:r>
        <w:rPr>
          <w:color w:val="000000"/>
          <w:shd w:fill="FFFFFF" w:val="clear"/>
        </w:rPr>
        <w:t xml:space="preserve"> </w:t>
      </w:r>
      <w:r>
        <w:rPr>
          <w:rFonts w:ascii="Frutiger LT 45 Light;sans-serif" w:hAnsi="Frutiger LT 45 Light;sans-serif"/>
          <w:b w:val="false"/>
          <w:color w:val="000000"/>
          <w:sz w:val="20"/>
          <w:shd w:fill="FFFFFF" w:val="clear"/>
        </w:rPr>
        <w:t xml:space="preserve">by $6.4 million, or 141.1%, compared to the same period in the prior year. The increase is primarily driven by </w:t>
      </w:r>
      <w:r>
        <w:rPr>
          <w:rFonts w:ascii="Frutiger LT 45 Light;sans-serif" w:hAnsi="Frutiger LT 45 Light;sans-serif"/>
          <w:b w:val="false"/>
          <w:color w:val="000000"/>
          <w:sz w:val="20"/>
        </w:rPr>
        <w:t>the expansion of TWFG MGA through acquisitions and new agent onboarding, and shift in business composition</w:t>
      </w:r>
      <w:r>
        <w:rPr>
          <w:rFonts w:ascii="Frutiger LT 45 Light;sans-serif" w:hAnsi="Frutiger LT 45 Light;sans-serif"/>
          <w:b w:val="false"/>
          <w:color w:val="000000"/>
          <w:sz w:val="20"/>
          <w:shd w:fill="FFFFFF" w:val="clear"/>
        </w:rPr>
        <w:t xml:space="preserve">. </w:t>
      </w:r>
    </w:p>
    <w:p>
      <w:pPr>
        <w:pStyle w:val="TextBody"/>
        <w:bidi w:val="0"/>
        <w:spacing w:lineRule="auto" w:line="288" w:before="0" w:after="160"/>
        <w:jc w:val="left"/>
        <w:rPr>
          <w:rFonts w:ascii="Frutiger LT 45 Light;sans-serif" w:hAnsi="Frutiger LT 45 Light;sans-serif"/>
          <w:b w:val="false"/>
          <w:i/>
          <w:color w:val="000000"/>
          <w:sz w:val="20"/>
          <w:shd w:fill="FFFFFF" w:val="clear"/>
        </w:rPr>
      </w:pPr>
      <w:r>
        <w:rPr>
          <w:rFonts w:ascii="Frutiger LT 45 Light;sans-serif" w:hAnsi="Frutiger LT 45 Light;sans-serif"/>
          <w:b w:val="false"/>
          <w:i/>
          <w:color w:val="000000"/>
          <w:sz w:val="20"/>
          <w:shd w:fill="FFFFFF" w:val="clear"/>
        </w:rPr>
        <w:t>Salaries and employee benefits</w:t>
      </w:r>
    </w:p>
    <w:p>
      <w:pPr>
        <w:pStyle w:val="TextBody"/>
        <w:bidi w:val="0"/>
        <w:spacing w:lineRule="auto" w:line="288" w:before="0" w:after="160"/>
        <w:jc w:val="left"/>
        <w:rPr/>
      </w:pPr>
      <w:r>
        <w:rPr>
          <w:rFonts w:ascii="Frutiger LT 45 Light;sans-serif" w:hAnsi="Frutiger LT 45 Light;sans-serif"/>
          <w:b w:val="false"/>
          <w:color w:val="000000"/>
          <w:sz w:val="20"/>
          <w:shd w:fill="FFFFFF" w:val="clear"/>
        </w:rPr>
        <w:t xml:space="preserve">Salaries and employee benefits for the three months ended June 30, 2026 increased by $2.3 million, or 24.1%, to $11.8 million compared to the same period in the prior year. The increase was primarily driven by $2.3 million in acquisitions, and a $0.3 million increase in corporate employee growth, offset by a decrease of </w:t>
      </w:r>
      <w:r>
        <w:rPr>
          <w:rFonts w:ascii="Frutiger LT 45 Light;sans-serif" w:hAnsi="Frutiger LT 45 Light;sans-serif"/>
          <w:b w:val="false"/>
          <w:color w:val="000000"/>
          <w:sz w:val="20"/>
        </w:rPr>
        <w:t>$0.3 million</w:t>
      </w:r>
      <w:r>
        <w:rPr>
          <w:color w:val="000000"/>
          <w:shd w:fill="FFFFFF" w:val="clear"/>
        </w:rPr>
        <w:t xml:space="preserve"> </w:t>
      </w:r>
      <w:r>
        <w:rPr>
          <w:rFonts w:ascii="Frutiger LT 45 Light;sans-serif" w:hAnsi="Frutiger LT 45 Light;sans-serif"/>
          <w:b w:val="false"/>
          <w:color w:val="000000"/>
          <w:sz w:val="20"/>
          <w:shd w:fill="FFFFFF" w:val="clear"/>
        </w:rPr>
        <w:t>in stock-based compensation.</w:t>
      </w:r>
    </w:p>
    <w:p>
      <w:pPr>
        <w:pStyle w:val="TextBody"/>
        <w:bidi w:val="0"/>
        <w:spacing w:lineRule="auto" w:line="288" w:before="0" w:after="160"/>
        <w:jc w:val="left"/>
        <w:rPr>
          <w:rFonts w:ascii="Frutiger LT 45 Light;sans-serif" w:hAnsi="Frutiger LT 45 Light;sans-serif"/>
          <w:b w:val="false"/>
          <w:i/>
          <w:color w:val="000000"/>
          <w:sz w:val="20"/>
          <w:shd w:fill="FFFFFF" w:val="clear"/>
        </w:rPr>
      </w:pPr>
      <w:r>
        <w:rPr>
          <w:rFonts w:ascii="Frutiger LT 45 Light;sans-serif" w:hAnsi="Frutiger LT 45 Light;sans-serif"/>
          <w:b w:val="false"/>
          <w:i/>
          <w:color w:val="000000"/>
          <w:sz w:val="20"/>
          <w:shd w:fill="FFFFFF" w:val="clear"/>
        </w:rPr>
        <w:t>Other administrative expenses</w:t>
      </w:r>
    </w:p>
    <w:p>
      <w:pPr>
        <w:pStyle w:val="TextBody"/>
        <w:bidi w:val="0"/>
        <w:spacing w:lineRule="auto" w:line="288" w:before="0" w:after="0"/>
        <w:jc w:val="left"/>
        <w:rPr/>
      </w:pPr>
      <w:r>
        <w:rPr>
          <w:rFonts w:ascii="Frutiger LT 45 Light;sans-serif" w:hAnsi="Frutiger LT 45 Light;sans-serif"/>
          <w:b w:val="false"/>
          <w:color w:val="000000"/>
          <w:sz w:val="20"/>
          <w:shd w:fill="FFFFFF" w:val="clear"/>
        </w:rPr>
        <w:t xml:space="preserve">Other administrative expenses for the three months ended June 30, 2026 </w:t>
      </w:r>
      <w:r>
        <w:rPr>
          <w:rFonts w:ascii="Frutiger LT 45 Light;sans-serif" w:hAnsi="Frutiger LT 45 Light;sans-serif"/>
          <w:b w:val="false"/>
          <w:color w:val="000000"/>
          <w:sz w:val="20"/>
        </w:rPr>
        <w:t xml:space="preserve">increased by </w:t>
      </w:r>
      <w:r>
        <w:rPr>
          <w:rFonts w:ascii="Frutiger LT 45 Light;sans-serif" w:hAnsi="Frutiger LT 45 Light;sans-serif"/>
          <w:b w:val="false"/>
          <w:color w:val="000000"/>
          <w:sz w:val="20"/>
          <w:shd w:fill="FFFFFF" w:val="clear"/>
        </w:rPr>
        <w:t xml:space="preserve">$3.2 million, or </w:t>
      </w:r>
      <w:r>
        <w:rPr>
          <w:rFonts w:ascii="Frutiger LT 45 Light;sans-serif" w:hAnsi="Frutiger LT 45 Light;sans-serif"/>
          <w:b w:val="false"/>
          <w:color w:val="000000"/>
          <w:sz w:val="20"/>
        </w:rPr>
        <w:t xml:space="preserve">59.0%, to </w:t>
      </w:r>
      <w:r>
        <w:rPr>
          <w:rFonts w:ascii="Frutiger LT 45 Light;sans-serif" w:hAnsi="Frutiger LT 45 Light;sans-serif"/>
          <w:b w:val="false"/>
          <w:color w:val="000000"/>
          <w:sz w:val="20"/>
          <w:shd w:fill="FFFFFF" w:val="clear"/>
        </w:rPr>
        <w:t>$8.6 million compared to the same period in the prior year. The increase was primarily due to $2.2 million in acquisitions, along with $1.0 million in information technology cost, insurance expense, and other costs associated with the growth of the business.</w:t>
      </w:r>
    </w:p>
    <w:p>
      <w:pPr>
        <w:pStyle w:val="TextBody"/>
        <w:bidi w:val="0"/>
        <w:spacing w:before="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7955"/>
                <wp:effectExtent l="0" t="0" r="0" b="0"/>
                <wp:wrapNone/>
                <wp:docPr id="31" name="Frame3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19</w:t>
                      </w:r>
                    </w:p>
                  </w:txbxContent>
                </v:textbox>
                <w10:wrap type="none"/>
              </v:rect>
            </w:pict>
          </mc:Fallback>
        </mc:AlternateContent>
      </w:r>
    </w:p>
    <w:p>
      <w:pPr>
        <w:pStyle w:val="TextBody"/>
        <w:bidi w:val="0"/>
        <w:spacing w:lineRule="auto" w:line="288" w:before="0" w:after="160"/>
        <w:jc w:val="left"/>
        <w:rPr/>
      </w:pPr>
      <w:hyperlink w:anchor="i54bb4eec0dab4063b7a5a162c0b6d974_7">
        <w:r>
          <w:rPr>
            <w:rStyle w:val="InternetLink"/>
          </w:rPr>
          <w:t xml:space="preserve">Table </w:t>
        </w:r>
      </w:hyperlink>
      <w:hyperlink w:anchor="i54bb4eec0dab4063b7a5a162c0b6d974_7">
        <w:r>
          <w:rPr>
            <w:rStyle w:val="InternetLink"/>
          </w:rPr>
          <w:t>of</w:t>
        </w:r>
      </w:hyperlink>
      <w:hyperlink w:anchor="i54bb4eec0dab4063b7a5a162c0b6d974_7">
        <w:r>
          <w:rPr>
            <w:rStyle w:val="InternetLink"/>
          </w:rPr>
          <w:t xml:space="preserve"> Contents</w:t>
        </w:r>
      </w:hyperlink>
    </w:p>
    <w:p>
      <w:pPr>
        <w:pStyle w:val="TextBody"/>
        <w:bidi w:val="0"/>
        <w:spacing w:lineRule="auto" w:line="288" w:before="0" w:after="160"/>
        <w:jc w:val="left"/>
        <w:rPr>
          <w:rFonts w:ascii="Frutiger LT 45 Light;sans-serif" w:hAnsi="Frutiger LT 45 Light;sans-serif"/>
          <w:b w:val="false"/>
          <w:i/>
          <w:color w:val="000000"/>
          <w:sz w:val="20"/>
        </w:rPr>
      </w:pPr>
      <w:r>
        <w:rPr>
          <w:rFonts w:ascii="Frutiger LT 45 Light;sans-serif" w:hAnsi="Frutiger LT 45 Light;sans-serif"/>
          <w:b w:val="false"/>
          <w:i/>
          <w:color w:val="000000"/>
          <w:sz w:val="20"/>
        </w:rPr>
        <w:t>Depreciation and amortization</w:t>
      </w:r>
    </w:p>
    <w:p>
      <w:pPr>
        <w:pStyle w:val="TextBody"/>
        <w:bidi w:val="0"/>
        <w:spacing w:lineRule="auto" w:line="288" w:before="0" w:after="160"/>
        <w:jc w:val="left"/>
        <w:rPr/>
      </w:pPr>
      <w:r>
        <w:rPr>
          <w:rFonts w:ascii="Frutiger LT 45 Light;sans-serif" w:hAnsi="Frutiger LT 45 Light;sans-serif"/>
          <w:b w:val="false"/>
          <w:color w:val="000000"/>
          <w:sz w:val="20"/>
          <w:shd w:fill="FFFFFF" w:val="clear"/>
        </w:rPr>
        <w:t>D</w:t>
      </w:r>
      <w:r>
        <w:rPr>
          <w:rFonts w:ascii="Frutiger LT 45 Light;sans-serif" w:hAnsi="Frutiger LT 45 Light;sans-serif"/>
          <w:b w:val="false"/>
          <w:color w:val="000000"/>
          <w:sz w:val="20"/>
        </w:rPr>
        <w:t xml:space="preserve">epreciation and amortization for the three months ended June 30, 2026 was $7.1 million compared to $3.9 million in the same period in the prior year, reflecting an increase of $3.2 million, or 81.1%. The increase was primarily due to the amortization of intangible assets from our recent asset acquisitions. </w:t>
      </w:r>
    </w:p>
    <w:p>
      <w:pPr>
        <w:pStyle w:val="TextBody"/>
        <w:bidi w:val="0"/>
        <w:spacing w:lineRule="auto" w:line="288" w:before="0" w:after="160"/>
        <w:jc w:val="left"/>
        <w:rPr>
          <w:rFonts w:ascii="Frutiger LT 45 Light;sans-serif" w:hAnsi="Frutiger LT 45 Light;sans-serif"/>
          <w:b w:val="false"/>
          <w:i/>
          <w:color w:val="000000"/>
          <w:sz w:val="20"/>
        </w:rPr>
      </w:pPr>
      <w:r>
        <w:rPr>
          <w:rFonts w:ascii="Frutiger LT 45 Light;sans-serif" w:hAnsi="Frutiger LT 45 Light;sans-serif"/>
          <w:b w:val="false"/>
          <w:i/>
          <w:color w:val="000000"/>
          <w:sz w:val="20"/>
        </w:rPr>
        <w:t>Interest income</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Interest income for the three months ended June 30, 2026 was $0.8 million, compared to $1.8 million for the same period in the prior year. The decrease reflects lower average cash balances following capital deployment into acquisitions and share repurchases.</w:t>
      </w:r>
    </w:p>
    <w:p>
      <w:pPr>
        <w:pStyle w:val="TextBody"/>
        <w:bidi w:val="0"/>
        <w:spacing w:lineRule="auto" w:line="288" w:before="0" w:after="160"/>
        <w:jc w:val="left"/>
        <w:rPr>
          <w:rFonts w:ascii="Frutiger LT 45 Light;sans-serif" w:hAnsi="Frutiger LT 45 Light;sans-serif"/>
          <w:b w:val="false"/>
          <w:i/>
          <w:color w:val="000000"/>
          <w:sz w:val="20"/>
        </w:rPr>
      </w:pPr>
      <w:r>
        <w:rPr>
          <w:rFonts w:ascii="Frutiger LT 45 Light;sans-serif" w:hAnsi="Frutiger LT 45 Light;sans-serif"/>
          <w:b w:val="false"/>
          <w:i/>
          <w:color w:val="000000"/>
          <w:sz w:val="20"/>
        </w:rPr>
        <w:t>Income tax expense</w:t>
      </w:r>
    </w:p>
    <w:p>
      <w:pPr>
        <w:pStyle w:val="TextBody"/>
        <w:bidi w:val="0"/>
        <w:spacing w:lineRule="auto" w:line="288" w:before="0" w:after="160"/>
        <w:jc w:val="left"/>
        <w:rPr/>
      </w:pPr>
      <w:r>
        <w:rPr>
          <w:rFonts w:ascii="Frutiger LT 45 Light;sans-serif" w:hAnsi="Frutiger LT 45 Light;sans-serif"/>
          <w:b w:val="false"/>
          <w:color w:val="000000"/>
          <w:sz w:val="20"/>
        </w:rPr>
        <w:t>Income tax expense for the three months ended June 30, 2026</w:t>
      </w:r>
      <w:r>
        <w:rPr>
          <w:color w:val="000000"/>
          <w:shd w:fill="FFFFFF" w:val="clear"/>
        </w:rPr>
        <w:t xml:space="preserve"> </w:t>
      </w:r>
      <w:r>
        <w:rPr>
          <w:rFonts w:ascii="Frutiger LT 45 Light;sans-serif" w:hAnsi="Frutiger LT 45 Light;sans-serif"/>
          <w:b w:val="false"/>
          <w:color w:val="000000"/>
          <w:sz w:val="20"/>
          <w:shd w:fill="FFFFFF" w:val="clear"/>
        </w:rPr>
        <w:t>was $1.0 million compared to $0.6 million for the same</w:t>
      </w:r>
      <w:r>
        <w:rPr>
          <w:color w:val="000000"/>
        </w:rPr>
        <w:t xml:space="preserve"> </w:t>
      </w:r>
      <w:r>
        <w:rPr>
          <w:rFonts w:ascii="Frutiger LT 45 Light;sans-serif" w:hAnsi="Frutiger LT 45 Light;sans-serif"/>
          <w:b w:val="false"/>
          <w:color w:val="000000"/>
          <w:sz w:val="20"/>
        </w:rPr>
        <w:t>period in the prior year.</w:t>
      </w:r>
    </w:p>
    <w:p>
      <w:pPr>
        <w:pStyle w:val="TextBody"/>
        <w:bidi w:val="0"/>
        <w:spacing w:lineRule="auto" w:line="288" w:before="0" w:after="160"/>
        <w:jc w:val="left"/>
        <w:rPr>
          <w:rFonts w:ascii="Frutiger LT 45 Light;sans-serif" w:hAnsi="Frutiger LT 45 Light;sans-serif"/>
          <w:b/>
          <w:i/>
          <w:color w:val="000000"/>
          <w:sz w:val="20"/>
        </w:rPr>
      </w:pPr>
      <w:r>
        <w:rPr>
          <w:rFonts w:ascii="Frutiger LT 45 Light;sans-serif" w:hAnsi="Frutiger LT 45 Light;sans-serif"/>
          <w:b/>
          <w:i/>
          <w:color w:val="000000"/>
          <w:sz w:val="20"/>
        </w:rPr>
        <w:t>Comparison of the Six Months Ended June 30, 2026 and 2025</w:t>
      </w:r>
    </w:p>
    <w:p>
      <w:pPr>
        <w:pStyle w:val="TextBody"/>
        <w:bidi w:val="0"/>
        <w:spacing w:lineRule="auto" w:line="288" w:before="0" w:after="160"/>
        <w:jc w:val="left"/>
        <w:rPr>
          <w:rFonts w:ascii="Frutiger LT 45 Light;sans-serif" w:hAnsi="Frutiger LT 45 Light;sans-serif"/>
          <w:b/>
          <w:i/>
          <w:color w:val="000000"/>
          <w:sz w:val="20"/>
        </w:rPr>
      </w:pPr>
      <w:r>
        <w:rPr>
          <w:rFonts w:ascii="Frutiger LT 45 Light;sans-serif" w:hAnsi="Frutiger LT 45 Light;sans-serif"/>
          <w:b/>
          <w:i/>
          <w:color w:val="000000"/>
          <w:sz w:val="20"/>
        </w:rPr>
        <w:t>Total revenues</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The following table presents the disaggregation of our revenues by offerings (in thousands):</w:t>
      </w:r>
    </w:p>
    <w:tbl>
      <w:tblPr>
        <w:tblW w:w="7684" w:type="dxa"/>
        <w:jc w:val="left"/>
        <w:tblInd w:w="0" w:type="dxa"/>
        <w:tblLayout w:type="fixed"/>
        <w:tblCellMar>
          <w:top w:w="28" w:type="dxa"/>
          <w:left w:w="28" w:type="dxa"/>
          <w:bottom w:w="28" w:type="dxa"/>
          <w:right w:w="28" w:type="dxa"/>
        </w:tblCellMar>
      </w:tblPr>
      <w:tblGrid>
        <w:gridCol w:w="786"/>
        <w:gridCol w:w="692"/>
        <w:gridCol w:w="696"/>
        <w:gridCol w:w="211"/>
        <w:gridCol w:w="826"/>
        <w:gridCol w:w="109"/>
        <w:gridCol w:w="109"/>
        <w:gridCol w:w="109"/>
        <w:gridCol w:w="109"/>
        <w:gridCol w:w="243"/>
        <w:gridCol w:w="243"/>
        <w:gridCol w:w="578"/>
        <w:gridCol w:w="109"/>
        <w:gridCol w:w="109"/>
        <w:gridCol w:w="109"/>
        <w:gridCol w:w="211"/>
        <w:gridCol w:w="826"/>
        <w:gridCol w:w="109"/>
        <w:gridCol w:w="109"/>
        <w:gridCol w:w="109"/>
        <w:gridCol w:w="109"/>
        <w:gridCol w:w="295"/>
        <w:gridCol w:w="232"/>
        <w:gridCol w:w="646"/>
      </w:tblGrid>
      <w:tr>
        <w:trPr/>
        <w:tc>
          <w:tcPr>
            <w:tcW w:w="7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0" w:type="dxa"/>
            <w:gridSpan w:val="21"/>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Six Months Ended June 30,</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2025</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 of Total</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Insurance Services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Agency-in-a-Box</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81,324 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51 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75,312 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66 </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Corporate Branches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24,988 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15 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19,615 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17 </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Total Insurance Services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106,312 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66 </w:t>
            </w:r>
          </w:p>
        </w:tc>
        <w:tc>
          <w:tcPr>
            <w:tcW w:w="5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94,927 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83 </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TWFG MGA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53,020 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33 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18,428 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16 </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6"/>
              </w:rPr>
            </w:pPr>
            <w:r>
              <w:rPr>
                <w:rFonts w:ascii="Frutiger LT 45 Light;sans-serif" w:hAnsi="Frutiger LT 45 Light;sans-serif"/>
                <w:b/>
                <w:color w:val="000000"/>
                <w:sz w:val="16"/>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160,352 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100 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114,131 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100 </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r>
      <w:tr>
        <w:trPr/>
        <w:tc>
          <w:tcPr>
            <w:tcW w:w="217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Total revenues for the six months ended June 30, 2026 increased by $46.2 million, or 40.5%, compared to the same period in the prior year. The $44.3 million, or 42.9%, increase in commission income was driven by written premium growth, continued organic business growth, and acquisitions made in 2025. Also contributing to the increase in total revenues were the $1.2 million, or 18.5%, increase in fee income, $0.4 million, or 11.0%, increase in contingent income, and $0.3 million, or 39.4% increase in other income compared to the same period in the prior year. See discussions below for additional information about the changes in our revenues.</w:t>
      </w:r>
    </w:p>
    <w:p>
      <w:pPr>
        <w:pStyle w:val="TextBody"/>
        <w:bidi w:val="0"/>
        <w:spacing w:lineRule="auto" w:line="288" w:before="0" w:after="160"/>
        <w:jc w:val="left"/>
        <w:rPr>
          <w:rFonts w:ascii="Frutiger LT 45 Light;sans-serif" w:hAnsi="Frutiger LT 45 Light;sans-serif"/>
          <w:b w:val="false"/>
          <w:i/>
          <w:color w:val="000000"/>
          <w:sz w:val="20"/>
        </w:rPr>
      </w:pPr>
      <w:r>
        <w:rPr>
          <w:rFonts w:ascii="Frutiger LT 45 Light;sans-serif" w:hAnsi="Frutiger LT 45 Light;sans-serif"/>
          <w:b w:val="false"/>
          <w:i/>
          <w:color w:val="000000"/>
          <w:sz w:val="20"/>
        </w:rPr>
        <w:t>Commission income</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The following table presents the disaggregation of our commission income by offerings (in thousands):</w:t>
      </w:r>
    </w:p>
    <w:tbl>
      <w:tblPr>
        <w:tblW w:w="8030" w:type="dxa"/>
        <w:jc w:val="left"/>
        <w:tblInd w:w="0" w:type="dxa"/>
        <w:tblLayout w:type="fixed"/>
        <w:tblCellMar>
          <w:top w:w="28" w:type="dxa"/>
          <w:left w:w="28" w:type="dxa"/>
          <w:bottom w:w="28" w:type="dxa"/>
          <w:right w:w="28" w:type="dxa"/>
        </w:tblCellMar>
      </w:tblPr>
      <w:tblGrid>
        <w:gridCol w:w="911"/>
        <w:gridCol w:w="802"/>
        <w:gridCol w:w="807"/>
        <w:gridCol w:w="211"/>
        <w:gridCol w:w="826"/>
        <w:gridCol w:w="109"/>
        <w:gridCol w:w="109"/>
        <w:gridCol w:w="109"/>
        <w:gridCol w:w="109"/>
        <w:gridCol w:w="243"/>
        <w:gridCol w:w="243"/>
        <w:gridCol w:w="578"/>
        <w:gridCol w:w="109"/>
        <w:gridCol w:w="109"/>
        <w:gridCol w:w="109"/>
        <w:gridCol w:w="211"/>
        <w:gridCol w:w="826"/>
        <w:gridCol w:w="109"/>
        <w:gridCol w:w="109"/>
        <w:gridCol w:w="109"/>
        <w:gridCol w:w="109"/>
        <w:gridCol w:w="295"/>
        <w:gridCol w:w="232"/>
        <w:gridCol w:w="646"/>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0" w:type="dxa"/>
            <w:gridSpan w:val="21"/>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Six Months Ended June 30,</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2025</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 of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 of Total</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Insurance Services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Agency-in-a-Box</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75,954 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52 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69,634 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67 </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Corporate Branches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24,324 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16 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19,508 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19 </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Total Insurance Services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100,278 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68 </w:t>
            </w:r>
          </w:p>
        </w:tc>
        <w:tc>
          <w:tcPr>
            <w:tcW w:w="5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89,142 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86 </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TWFG MGA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47,416 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32 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14,205 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14 </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6"/>
              </w:rPr>
            </w:pPr>
            <w:r>
              <w:rPr>
                <w:rFonts w:ascii="Frutiger LT 45 Light;sans-serif" w:hAnsi="Frutiger LT 45 Light;sans-serif"/>
                <w:b/>
                <w:color w:val="000000"/>
                <w:sz w:val="16"/>
              </w:rPr>
              <w:t>Total commission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147,694 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100 </w:t>
            </w:r>
          </w:p>
        </w:tc>
        <w:tc>
          <w:tcPr>
            <w:tcW w:w="5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103,347 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100 </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r>
      <w:tr>
        <w:trPr/>
        <w:tc>
          <w:tcPr>
            <w:tcW w:w="252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Commission income for the six months ended June 30, 2026 increased by $44.3 million, or 42.9%, compared to the same period in the prior year. The increase was primarily driven by growth in written premiums, including contributions from the acquisitions of TWFG MGA FL and the APIA MGA programs, which generate higher commission rates, as well as continued organic growth. Corporate store acquisitions completed after June 30, 2025 also contributed to the increase.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7955"/>
                <wp:effectExtent l="0" t="0" r="0" b="0"/>
                <wp:wrapNone/>
                <wp:docPr id="32" name="Frame3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20</w:t>
                      </w:r>
                    </w:p>
                  </w:txbxContent>
                </v:textbox>
                <w10:wrap type="none"/>
              </v:rect>
            </w:pict>
          </mc:Fallback>
        </mc:AlternateContent>
      </w:r>
    </w:p>
    <w:p>
      <w:pPr>
        <w:pStyle w:val="TextBody"/>
        <w:bidi w:val="0"/>
        <w:spacing w:lineRule="auto" w:line="288" w:before="0" w:after="160"/>
        <w:jc w:val="left"/>
        <w:rPr/>
      </w:pPr>
      <w:hyperlink w:anchor="i54bb4eec0dab4063b7a5a162c0b6d974_7">
        <w:r>
          <w:rPr>
            <w:rStyle w:val="InternetLink"/>
          </w:rPr>
          <w:t xml:space="preserve">Table </w:t>
        </w:r>
      </w:hyperlink>
      <w:hyperlink w:anchor="i54bb4eec0dab4063b7a5a162c0b6d974_7">
        <w:r>
          <w:rPr>
            <w:rStyle w:val="InternetLink"/>
          </w:rPr>
          <w:t>of</w:t>
        </w:r>
      </w:hyperlink>
      <w:hyperlink w:anchor="i54bb4eec0dab4063b7a5a162c0b6d974_7">
        <w:r>
          <w:rPr>
            <w:rStyle w:val="InternetLink"/>
          </w:rPr>
          <w:t xml:space="preserve"> Contents</w:t>
        </w:r>
      </w:hyperlink>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 xml:space="preserve">Commission income for Insurance Services grew by $11.1 million, or 12.5%, for the six months ended June 30, 2026 compared to the same period in the prior year. Agency-in-a-Box commission income increased by $6.3 million, or 9.1%, for the six months ended June 30, 2026 compared to the same period in the prior year. This increase was driven by higher written premium volume through organic growth and mix in line of business over the period. Corporate Branches commission income increased by $4.8 million, or 24.7%, for the six months ended June 30, 2026 compared to the same period in the prior year. The increase was primarily driven by the acquisitions completed after June 30, 2025 and organic growth. </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TWFG MGA commission income for the six months ended June 30, 2026 increased by $33.2 million, or 233.8%, compared to the same period in the prior year. The increase in TWFG MGA was primarily driven by the acquisition of TWFG MGA FL completed in 2025 which contributed $28.2 million to the total increase of $33.2 million.</w:t>
      </w:r>
    </w:p>
    <w:p>
      <w:pPr>
        <w:pStyle w:val="TextBody"/>
        <w:bidi w:val="0"/>
        <w:spacing w:lineRule="auto" w:line="288" w:before="0" w:after="160"/>
        <w:jc w:val="left"/>
        <w:rPr>
          <w:rFonts w:ascii="Frutiger LT 45 Light;sans-serif" w:hAnsi="Frutiger LT 45 Light;sans-serif"/>
          <w:b w:val="false"/>
          <w:i/>
          <w:color w:val="000000"/>
          <w:sz w:val="20"/>
        </w:rPr>
      </w:pPr>
      <w:r>
        <w:rPr>
          <w:rFonts w:ascii="Frutiger LT 45 Light;sans-serif" w:hAnsi="Frutiger LT 45 Light;sans-serif"/>
          <w:b w:val="false"/>
          <w:i/>
          <w:color w:val="000000"/>
          <w:sz w:val="20"/>
        </w:rPr>
        <w:t>Contingent income</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 xml:space="preserve">Contingent income for the six months ended June 30, 2026 was $4.1 million, reflecting a $0.4 million, or 11.0%, increase compared to the same period in the prior year. The increase in contingent income was primarily due to underlying growth in our business. Contingent income is unpredictable and dependent upon the target financial and performance metrics established by the insurance carriers. </w:t>
      </w:r>
    </w:p>
    <w:p>
      <w:pPr>
        <w:pStyle w:val="TextBody"/>
        <w:bidi w:val="0"/>
        <w:spacing w:lineRule="auto" w:line="288" w:before="0" w:after="160"/>
        <w:jc w:val="left"/>
        <w:rPr>
          <w:rFonts w:ascii="Frutiger LT 45 Light;sans-serif" w:hAnsi="Frutiger LT 45 Light;sans-serif"/>
          <w:b w:val="false"/>
          <w:i/>
          <w:color w:val="000000"/>
          <w:sz w:val="20"/>
        </w:rPr>
      </w:pPr>
      <w:r>
        <w:rPr>
          <w:rFonts w:ascii="Frutiger LT 45 Light;sans-serif" w:hAnsi="Frutiger LT 45 Light;sans-serif"/>
          <w:b w:val="false"/>
          <w:i/>
          <w:color w:val="000000"/>
          <w:sz w:val="20"/>
        </w:rPr>
        <w:t>Fee income</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The following table presents the disaggregation of our fee income by major sources (in thousands):</w:t>
      </w:r>
    </w:p>
    <w:tbl>
      <w:tblPr>
        <w:tblW w:w="6769" w:type="dxa"/>
        <w:jc w:val="left"/>
        <w:tblInd w:w="0" w:type="dxa"/>
        <w:tblLayout w:type="fixed"/>
        <w:tblCellMar>
          <w:top w:w="28" w:type="dxa"/>
          <w:left w:w="28" w:type="dxa"/>
          <w:bottom w:w="28" w:type="dxa"/>
          <w:right w:w="28" w:type="dxa"/>
        </w:tblCellMar>
      </w:tblPr>
      <w:tblGrid>
        <w:gridCol w:w="608"/>
        <w:gridCol w:w="534"/>
        <w:gridCol w:w="537"/>
        <w:gridCol w:w="211"/>
        <w:gridCol w:w="616"/>
        <w:gridCol w:w="109"/>
        <w:gridCol w:w="109"/>
        <w:gridCol w:w="109"/>
        <w:gridCol w:w="109"/>
        <w:gridCol w:w="243"/>
        <w:gridCol w:w="243"/>
        <w:gridCol w:w="578"/>
        <w:gridCol w:w="109"/>
        <w:gridCol w:w="109"/>
        <w:gridCol w:w="109"/>
        <w:gridCol w:w="211"/>
        <w:gridCol w:w="616"/>
        <w:gridCol w:w="109"/>
        <w:gridCol w:w="109"/>
        <w:gridCol w:w="109"/>
        <w:gridCol w:w="109"/>
        <w:gridCol w:w="295"/>
        <w:gridCol w:w="232"/>
        <w:gridCol w:w="646"/>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0" w:type="dxa"/>
            <w:gridSpan w:val="21"/>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Six Months Ended June 30,</w:t>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2025</w:t>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 of Total</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Policy fees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42 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34 </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Branch fees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37 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42 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License fees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18 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18 </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TPA fees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6"/>
              </w:rPr>
            </w:pPr>
            <w:r>
              <w:rPr>
                <w:rFonts w:ascii="Frutiger LT 45 Light;sans-serif" w:hAnsi="Frutiger LT 45 Light;sans-serif"/>
                <w:b/>
                <w:color w:val="000000"/>
                <w:sz w:val="16"/>
              </w:rPr>
              <w:t>Total fee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100 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100 </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r>
      <w:tr>
        <w:trPr/>
        <w:tc>
          <w:tcPr>
            <w:tcW w:w="167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Frutiger LT 45 Light;sans-serif" w:hAnsi="Frutiger LT 45 Light;sans-serif"/>
          <w:b w:val="false"/>
          <w:color w:val="000000"/>
          <w:sz w:val="20"/>
        </w:rPr>
        <w:t>Fee income for t</w:t>
      </w:r>
      <w:r>
        <w:rPr>
          <w:rFonts w:ascii="Frutiger LT 45 Light;sans-serif" w:hAnsi="Frutiger LT 45 Light;sans-serif"/>
          <w:b w:val="false"/>
          <w:color w:val="000000"/>
          <w:sz w:val="20"/>
          <w:shd w:fill="FFFFFF" w:val="clear"/>
        </w:rPr>
        <w:t xml:space="preserve">he six months ended June 30, 2026 </w:t>
      </w:r>
      <w:r>
        <w:rPr>
          <w:rFonts w:ascii="Frutiger LT 45 Light;sans-serif" w:hAnsi="Frutiger LT 45 Light;sans-serif"/>
          <w:b w:val="false"/>
          <w:color w:val="000000"/>
          <w:sz w:val="20"/>
        </w:rPr>
        <w:t>increased</w:t>
      </w:r>
      <w:r>
        <w:rPr>
          <w:color w:val="000000"/>
          <w:shd w:fill="FFFFFF" w:val="clear"/>
        </w:rPr>
        <w:t xml:space="preserve"> </w:t>
      </w:r>
      <w:r>
        <w:rPr>
          <w:rFonts w:ascii="Frutiger LT 45 Light;sans-serif" w:hAnsi="Frutiger LT 45 Light;sans-serif"/>
          <w:b w:val="false"/>
          <w:color w:val="000000"/>
          <w:sz w:val="20"/>
          <w:shd w:fill="FFFFFF" w:val="clear"/>
        </w:rPr>
        <w:t>by $1.2 million, or 18.5%, compared to the same period in the prior year. Changes to individual components of fee income are discussed in detail below:</w:t>
      </w:r>
    </w:p>
    <w:p>
      <w:pPr>
        <w:pStyle w:val="TextBody"/>
        <w:bidi w:val="0"/>
        <w:spacing w:lineRule="auto" w:line="288" w:before="0" w:after="160"/>
        <w:jc w:val="left"/>
        <w:rPr/>
      </w:pPr>
      <w:r>
        <w:rPr>
          <w:color w:val="000000"/>
          <w:shd w:fill="FFFFFF" w:val="clear"/>
        </w:rPr>
        <w:t>•</w:t>
      </w:r>
      <w:r>
        <w:rPr>
          <w:rFonts w:ascii="Frutiger LT 45 Light;sans-serif" w:hAnsi="Frutiger LT 45 Light;sans-serif"/>
          <w:b w:val="false"/>
          <w:color w:val="000000"/>
          <w:sz w:val="20"/>
          <w:shd w:fill="FFFFFF" w:val="clear"/>
        </w:rPr>
        <w:t xml:space="preserve">Policy fees for the six months ended June 30, 2026 </w:t>
      </w:r>
      <w:r>
        <w:rPr>
          <w:rFonts w:ascii="Frutiger LT 45 Light;sans-serif" w:hAnsi="Frutiger LT 45 Light;sans-serif"/>
          <w:b w:val="false"/>
          <w:color w:val="000000"/>
          <w:sz w:val="20"/>
        </w:rPr>
        <w:t>increased</w:t>
      </w:r>
      <w:r>
        <w:rPr>
          <w:color w:val="000000"/>
          <w:shd w:fill="FFFFFF" w:val="clear"/>
        </w:rPr>
        <w:t xml:space="preserve"> </w:t>
      </w:r>
      <w:r>
        <w:rPr>
          <w:rFonts w:ascii="Frutiger LT 45 Light;sans-serif" w:hAnsi="Frutiger LT 45 Light;sans-serif"/>
          <w:b w:val="false"/>
          <w:color w:val="000000"/>
          <w:sz w:val="20"/>
          <w:shd w:fill="FFFFFF" w:val="clear"/>
        </w:rPr>
        <w:t>by $1.0 million, or 45.3%, compared to the same period in the prior year. The increase in policy fees was primarily due to higher policy count driven by renewal and new business growth.</w:t>
      </w:r>
    </w:p>
    <w:p>
      <w:pPr>
        <w:pStyle w:val="TextBody"/>
        <w:bidi w:val="0"/>
        <w:spacing w:lineRule="auto" w:line="288" w:before="0" w:after="160"/>
        <w:jc w:val="left"/>
        <w:rPr/>
      </w:pPr>
      <w:r>
        <w:rPr>
          <w:color w:val="000000"/>
          <w:shd w:fill="FFFFFF" w:val="clear"/>
        </w:rPr>
        <w:t>•</w:t>
      </w:r>
      <w:r>
        <w:rPr>
          <w:rFonts w:ascii="Frutiger LT 45 Light;sans-serif" w:hAnsi="Frutiger LT 45 Light;sans-serif"/>
          <w:b w:val="false"/>
          <w:color w:val="000000"/>
          <w:sz w:val="20"/>
          <w:shd w:fill="FFFFFF" w:val="clear"/>
        </w:rPr>
        <w:t xml:space="preserve">Branch fees for the six months ended June 30, 2026 </w:t>
      </w:r>
      <w:r>
        <w:rPr>
          <w:rFonts w:ascii="Frutiger LT 45 Light;sans-serif" w:hAnsi="Frutiger LT 45 Light;sans-serif"/>
          <w:b w:val="false"/>
          <w:color w:val="000000"/>
          <w:sz w:val="20"/>
        </w:rPr>
        <w:t>increased</w:t>
      </w:r>
      <w:r>
        <w:rPr>
          <w:color w:val="000000"/>
          <w:shd w:fill="FFFFFF" w:val="clear"/>
        </w:rPr>
        <w:t xml:space="preserve"> </w:t>
      </w:r>
      <w:r>
        <w:rPr>
          <w:rFonts w:ascii="Frutiger LT 45 Light;sans-serif" w:hAnsi="Frutiger LT 45 Light;sans-serif"/>
          <w:b w:val="false"/>
          <w:color w:val="000000"/>
          <w:sz w:val="20"/>
          <w:shd w:fill="FFFFFF" w:val="clear"/>
        </w:rPr>
        <w:t>by $0.1 million, or 5.0%, compared to the same period in the prior year. The increase in branch fees was primarily driven by increased agent growth.</w:t>
      </w:r>
    </w:p>
    <w:p>
      <w:pPr>
        <w:pStyle w:val="TextBody"/>
        <w:bidi w:val="0"/>
        <w:spacing w:lineRule="auto" w:line="288" w:before="0" w:after="160"/>
        <w:jc w:val="left"/>
        <w:rPr/>
      </w:pPr>
      <w:r>
        <w:rPr>
          <w:color w:val="000000"/>
          <w:shd w:fill="FFFFFF" w:val="clear"/>
        </w:rPr>
        <w:t>•</w:t>
      </w:r>
      <w:r>
        <w:rPr>
          <w:rFonts w:ascii="Frutiger LT 45 Light;sans-serif" w:hAnsi="Frutiger LT 45 Light;sans-serif"/>
          <w:b w:val="false"/>
          <w:color w:val="000000"/>
          <w:sz w:val="20"/>
          <w:shd w:fill="FFFFFF" w:val="clear"/>
        </w:rPr>
        <w:t xml:space="preserve">License fees for the six months ended June 30, 2026 </w:t>
      </w:r>
      <w:r>
        <w:rPr>
          <w:rFonts w:ascii="Frutiger LT 45 Light;sans-serif" w:hAnsi="Frutiger LT 45 Light;sans-serif"/>
          <w:b w:val="false"/>
          <w:color w:val="000000"/>
          <w:sz w:val="20"/>
        </w:rPr>
        <w:t>increased</w:t>
      </w:r>
      <w:r>
        <w:rPr>
          <w:color w:val="000000"/>
          <w:shd w:fill="FFFFFF" w:val="clear"/>
        </w:rPr>
        <w:t xml:space="preserve"> </w:t>
      </w:r>
      <w:r>
        <w:rPr>
          <w:rFonts w:ascii="Frutiger LT 45 Light;sans-serif" w:hAnsi="Frutiger LT 45 Light;sans-serif"/>
          <w:b w:val="false"/>
          <w:color w:val="000000"/>
          <w:sz w:val="20"/>
          <w:shd w:fill="FFFFFF" w:val="clear"/>
        </w:rPr>
        <w:t>by $0.2 million, or 15.8%, compared to the same period in the prior year. The increase reflects expanded state footprint and strategic licensing fee adjustments to support agent services.</w:t>
      </w:r>
    </w:p>
    <w:p>
      <w:pPr>
        <w:pStyle w:val="TextBody"/>
        <w:bidi w:val="0"/>
        <w:spacing w:lineRule="auto" w:line="288" w:before="0" w:after="160"/>
        <w:jc w:val="left"/>
        <w:rPr/>
      </w:pPr>
      <w:r>
        <w:rPr>
          <w:color w:val="000000"/>
          <w:shd w:fill="FFFFFF" w:val="clear"/>
        </w:rPr>
        <w:t>•</w:t>
      </w:r>
      <w:r>
        <w:rPr>
          <w:rFonts w:ascii="Frutiger LT 45 Light;sans-serif" w:hAnsi="Frutiger LT 45 Light;sans-serif"/>
          <w:b w:val="false"/>
          <w:color w:val="000000"/>
          <w:sz w:val="20"/>
          <w:shd w:fill="FFFFFF" w:val="clear"/>
        </w:rPr>
        <w:t xml:space="preserve">TPA fees for the six months ended June 30, 2026 </w:t>
      </w:r>
      <w:r>
        <w:rPr>
          <w:rFonts w:ascii="Frutiger LT 45 Light;sans-serif" w:hAnsi="Frutiger LT 45 Light;sans-serif"/>
          <w:b w:val="false"/>
          <w:color w:val="000000"/>
          <w:sz w:val="20"/>
        </w:rPr>
        <w:t>decreased</w:t>
      </w:r>
      <w:r>
        <w:rPr>
          <w:color w:val="000000"/>
          <w:shd w:fill="FFFFFF" w:val="clear"/>
        </w:rPr>
        <w:t xml:space="preserve"> </w:t>
      </w:r>
      <w:r>
        <w:rPr>
          <w:rFonts w:ascii="Frutiger LT 45 Light;sans-serif" w:hAnsi="Frutiger LT 45 Light;sans-serif"/>
          <w:b w:val="false"/>
          <w:color w:val="000000"/>
          <w:sz w:val="20"/>
          <w:shd w:fill="FFFFFF" w:val="clear"/>
        </w:rPr>
        <w:t xml:space="preserve">by $0.1 million, or 30.4%, </w:t>
      </w:r>
      <w:r>
        <w:rPr>
          <w:rFonts w:ascii="Frutiger LT 45 Light;sans-serif" w:hAnsi="Frutiger LT 45 Light;sans-serif"/>
          <w:b w:val="false"/>
          <w:color w:val="000000"/>
          <w:sz w:val="20"/>
        </w:rPr>
        <w:t>compared to the same period in the prior year. The decrease in TPA fees was due to the decreased volume in claims processed by TWFG MGA.</w:t>
      </w:r>
    </w:p>
    <w:p>
      <w:pPr>
        <w:pStyle w:val="TextBody"/>
        <w:bidi w:val="0"/>
        <w:spacing w:lineRule="auto" w:line="288" w:before="0" w:after="160"/>
        <w:jc w:val="left"/>
        <w:rPr>
          <w:rFonts w:ascii="Frutiger LT 45 Light;sans-serif" w:hAnsi="Frutiger LT 45 Light;sans-serif"/>
          <w:b w:val="false"/>
          <w:i/>
          <w:color w:val="000000"/>
          <w:sz w:val="20"/>
          <w:shd w:fill="FFFFFF" w:val="clear"/>
        </w:rPr>
      </w:pPr>
      <w:r>
        <w:rPr>
          <w:rFonts w:ascii="Frutiger LT 45 Light;sans-serif" w:hAnsi="Frutiger LT 45 Light;sans-serif"/>
          <w:b w:val="false"/>
          <w:i/>
          <w:color w:val="000000"/>
          <w:sz w:val="20"/>
          <w:shd w:fill="FFFFFF" w:val="clear"/>
        </w:rPr>
        <w:t>Other income</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Other income for the six months ended June 30, 2026 was $1.0 million compared to $0.7 million in the same period in the prior year. The increase was primarily driven by premium financing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7955"/>
                <wp:effectExtent l="0" t="0" r="0" b="0"/>
                <wp:wrapNone/>
                <wp:docPr id="33" name="Frame3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21</w:t>
                      </w:r>
                    </w:p>
                  </w:txbxContent>
                </v:textbox>
                <w10:wrap type="none"/>
              </v:rect>
            </w:pict>
          </mc:Fallback>
        </mc:AlternateContent>
      </w:r>
    </w:p>
    <w:p>
      <w:pPr>
        <w:pStyle w:val="TextBody"/>
        <w:bidi w:val="0"/>
        <w:spacing w:lineRule="auto" w:line="288" w:before="0" w:after="160"/>
        <w:jc w:val="left"/>
        <w:rPr/>
      </w:pPr>
      <w:hyperlink w:anchor="i54bb4eec0dab4063b7a5a162c0b6d974_7">
        <w:r>
          <w:rPr>
            <w:rStyle w:val="InternetLink"/>
          </w:rPr>
          <w:t xml:space="preserve">Table </w:t>
        </w:r>
      </w:hyperlink>
      <w:hyperlink w:anchor="i54bb4eec0dab4063b7a5a162c0b6d974_7">
        <w:r>
          <w:rPr>
            <w:rStyle w:val="InternetLink"/>
          </w:rPr>
          <w:t>of</w:t>
        </w:r>
      </w:hyperlink>
      <w:hyperlink w:anchor="i54bb4eec0dab4063b7a5a162c0b6d974_7">
        <w:r>
          <w:rPr>
            <w:rStyle w:val="InternetLink"/>
          </w:rPr>
          <w:t xml:space="preserve"> Contents</w:t>
        </w:r>
      </w:hyperlink>
    </w:p>
    <w:p>
      <w:pPr>
        <w:pStyle w:val="TextBody"/>
        <w:bidi w:val="0"/>
        <w:spacing w:lineRule="auto" w:line="288" w:before="0" w:after="160"/>
        <w:jc w:val="left"/>
        <w:rPr>
          <w:rFonts w:ascii="Frutiger LT 45 Light;sans-serif" w:hAnsi="Frutiger LT 45 Light;sans-serif"/>
          <w:b w:val="false"/>
          <w:i/>
          <w:color w:val="000000"/>
          <w:sz w:val="20"/>
        </w:rPr>
      </w:pPr>
      <w:r>
        <w:rPr>
          <w:rFonts w:ascii="Frutiger LT 45 Light;sans-serif" w:hAnsi="Frutiger LT 45 Light;sans-serif"/>
          <w:b w:val="false"/>
          <w:i/>
          <w:color w:val="000000"/>
          <w:sz w:val="20"/>
        </w:rPr>
        <w:t>Commission expense</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The following table presents the disaggregation of our commission expense by offerings (in thousands):</w:t>
      </w:r>
    </w:p>
    <w:tbl>
      <w:tblPr>
        <w:tblW w:w="7671" w:type="dxa"/>
        <w:jc w:val="left"/>
        <w:tblInd w:w="0" w:type="dxa"/>
        <w:tblLayout w:type="fixed"/>
        <w:tblCellMar>
          <w:top w:w="28" w:type="dxa"/>
          <w:left w:w="28" w:type="dxa"/>
          <w:bottom w:w="28" w:type="dxa"/>
          <w:right w:w="28" w:type="dxa"/>
        </w:tblCellMar>
      </w:tblPr>
      <w:tblGrid>
        <w:gridCol w:w="868"/>
        <w:gridCol w:w="764"/>
        <w:gridCol w:w="768"/>
        <w:gridCol w:w="211"/>
        <w:gridCol w:w="721"/>
        <w:gridCol w:w="109"/>
        <w:gridCol w:w="109"/>
        <w:gridCol w:w="109"/>
        <w:gridCol w:w="109"/>
        <w:gridCol w:w="243"/>
        <w:gridCol w:w="243"/>
        <w:gridCol w:w="578"/>
        <w:gridCol w:w="109"/>
        <w:gridCol w:w="109"/>
        <w:gridCol w:w="109"/>
        <w:gridCol w:w="211"/>
        <w:gridCol w:w="721"/>
        <w:gridCol w:w="109"/>
        <w:gridCol w:w="109"/>
        <w:gridCol w:w="109"/>
        <w:gridCol w:w="109"/>
        <w:gridCol w:w="266"/>
        <w:gridCol w:w="232"/>
        <w:gridCol w:w="646"/>
      </w:tblGrid>
      <w:tr>
        <w:trPr/>
        <w:tc>
          <w:tcPr>
            <w:tcW w:w="86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1" w:type="dxa"/>
            <w:gridSpan w:val="21"/>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Six Months Ended June 30,</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2025</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 of Total</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Insurance Services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Agency-in-a-Box</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58,586 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74 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53,967 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82 </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Corporate Branches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4 </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Total Insurance Services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61,345 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77 </w:t>
            </w:r>
          </w:p>
        </w:tc>
        <w:tc>
          <w:tcPr>
            <w:tcW w:w="5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56,641 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86 </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TWFG MGA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18,018 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23 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9,270 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14 </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 xml:space="preserve">Total commission expense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79,521 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100 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65,965 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100 </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r>
      <w:tr>
        <w:trPr/>
        <w:tc>
          <w:tcPr>
            <w:tcW w:w="240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Frutiger LT 45 Light;sans-serif" w:hAnsi="Frutiger LT 45 Light;sans-serif"/>
          <w:b w:val="false"/>
          <w:color w:val="000000"/>
          <w:sz w:val="20"/>
          <w:shd w:fill="FFFFFF" w:val="clear"/>
        </w:rPr>
      </w:pPr>
      <w:r>
        <w:rPr>
          <w:rFonts w:ascii="Frutiger LT 45 Light;sans-serif" w:hAnsi="Frutiger LT 45 Light;sans-serif"/>
          <w:b w:val="false"/>
          <w:color w:val="000000"/>
          <w:sz w:val="20"/>
          <w:shd w:fill="FFFFFF" w:val="clear"/>
        </w:rPr>
        <w:t>Commission expense for the six months ended June 30, 2026 increased by $13.6 million, or 20.6%, compared to the same period in the prior year. The increase was primarily due to the increased business growth and overall shift in business mix. See commission income discussion above for additional information regarding the driver of changes.</w:t>
      </w:r>
    </w:p>
    <w:p>
      <w:pPr>
        <w:pStyle w:val="TextBody"/>
        <w:bidi w:val="0"/>
        <w:spacing w:lineRule="auto" w:line="288" w:before="0" w:after="160"/>
        <w:jc w:val="left"/>
        <w:rPr/>
      </w:pPr>
      <w:r>
        <w:rPr>
          <w:rFonts w:ascii="Frutiger LT 45 Light;sans-serif" w:hAnsi="Frutiger LT 45 Light;sans-serif"/>
          <w:b w:val="false"/>
          <w:color w:val="000000"/>
          <w:sz w:val="20"/>
          <w:shd w:fill="FFFFFF" w:val="clear"/>
        </w:rPr>
        <w:t xml:space="preserve">Commission expense for total Insurance Services increased by $4.7 million, or </w:t>
      </w:r>
      <w:r>
        <w:rPr>
          <w:rFonts w:ascii="Frutiger LT 45 Light;sans-serif" w:hAnsi="Frutiger LT 45 Light;sans-serif"/>
          <w:b w:val="false"/>
          <w:color w:val="000000"/>
          <w:sz w:val="20"/>
        </w:rPr>
        <w:t>8.3%</w:t>
      </w:r>
      <w:r>
        <w:rPr>
          <w:rFonts w:ascii="Frutiger LT 45 Light;sans-serif" w:hAnsi="Frutiger LT 45 Light;sans-serif"/>
          <w:b w:val="false"/>
          <w:color w:val="000000"/>
          <w:sz w:val="20"/>
          <w:shd w:fill="FFFFFF" w:val="clear"/>
        </w:rPr>
        <w:t xml:space="preserve">, for the six months ended June 30, 2026 compared to the same period in the prior year. Insurance Services Agency-in-a-Box commission expense for the six months ended June 30, 2026 increased by $4.6 million, or 8.6%, compared to the same period in the prior year. The increase was primarily driven by the increase in our business. </w:t>
      </w:r>
    </w:p>
    <w:p>
      <w:pPr>
        <w:pStyle w:val="TextBody"/>
        <w:bidi w:val="0"/>
        <w:spacing w:lineRule="auto" w:line="288" w:before="0" w:after="160"/>
        <w:jc w:val="left"/>
        <w:rPr/>
      </w:pPr>
      <w:r>
        <w:rPr>
          <w:rFonts w:ascii="Frutiger LT 45 Light;sans-serif" w:hAnsi="Frutiger LT 45 Light;sans-serif"/>
          <w:b w:val="false"/>
          <w:color w:val="000000"/>
          <w:sz w:val="20"/>
          <w:shd w:fill="FFFFFF" w:val="clear"/>
        </w:rPr>
        <w:t xml:space="preserve">Insurance Services Corporate Branches commission expense for the six months ended June 30, 2026 increased by $0.1 million, or </w:t>
      </w:r>
      <w:r>
        <w:rPr>
          <w:rFonts w:ascii="Frutiger LT 45 Light;sans-serif" w:hAnsi="Frutiger LT 45 Light;sans-serif"/>
          <w:b w:val="false"/>
          <w:color w:val="000000"/>
          <w:sz w:val="20"/>
        </w:rPr>
        <w:t>3.2%</w:t>
      </w:r>
      <w:r>
        <w:rPr>
          <w:rFonts w:ascii="Frutiger LT 45 Light;sans-serif" w:hAnsi="Frutiger LT 45 Light;sans-serif"/>
          <w:b w:val="false"/>
          <w:color w:val="000000"/>
          <w:sz w:val="20"/>
          <w:shd w:fill="FFFFFF" w:val="clear"/>
        </w:rPr>
        <w:t xml:space="preserve">, compared to the same period in the prior year. The increase in commission expense was driven by both organic business growth and acquisition of Corporate Branches in the current period. The expenses of our Corporate Branches are primarily salaries and benefits, and are primarily fixed expenses, which are not directly related to commission income or written premium. </w:t>
      </w:r>
    </w:p>
    <w:p>
      <w:pPr>
        <w:pStyle w:val="TextBody"/>
        <w:bidi w:val="0"/>
        <w:spacing w:lineRule="auto" w:line="288" w:before="0" w:after="160"/>
        <w:jc w:val="left"/>
        <w:rPr>
          <w:rFonts w:ascii="Frutiger LT 45 Light;sans-serif" w:hAnsi="Frutiger LT 45 Light;sans-serif"/>
          <w:b w:val="false"/>
          <w:color w:val="000000"/>
          <w:sz w:val="20"/>
          <w:shd w:fill="FFFFFF" w:val="clear"/>
        </w:rPr>
      </w:pPr>
      <w:r>
        <w:rPr>
          <w:rFonts w:ascii="Frutiger LT 45 Light;sans-serif" w:hAnsi="Frutiger LT 45 Light;sans-serif"/>
          <w:b w:val="false"/>
          <w:color w:val="000000"/>
          <w:sz w:val="20"/>
          <w:shd w:fill="FFFFFF" w:val="clear"/>
        </w:rPr>
        <w:t>TWFG MGA commission expense for the six months ended June 30, 2026 increased by $8.7 million, or 94.4%, compared to the same period in the prior year. The increase was primarily driven by the acquisitions and overall growth.</w:t>
      </w:r>
    </w:p>
    <w:p>
      <w:pPr>
        <w:pStyle w:val="TextBody"/>
        <w:bidi w:val="0"/>
        <w:spacing w:lineRule="auto" w:line="288" w:before="0" w:after="160"/>
        <w:jc w:val="left"/>
        <w:rPr>
          <w:rFonts w:ascii="Frutiger LT 45 Light;sans-serif" w:hAnsi="Frutiger LT 45 Light;sans-serif"/>
          <w:b w:val="false"/>
          <w:i/>
          <w:color w:val="000000"/>
          <w:sz w:val="20"/>
          <w:shd w:fill="FFFFFF" w:val="clear"/>
        </w:rPr>
      </w:pPr>
      <w:r>
        <w:rPr>
          <w:rFonts w:ascii="Frutiger LT 45 Light;sans-serif" w:hAnsi="Frutiger LT 45 Light;sans-serif"/>
          <w:b w:val="false"/>
          <w:i/>
          <w:color w:val="000000"/>
          <w:sz w:val="20"/>
          <w:shd w:fill="FFFFFF" w:val="clear"/>
        </w:rPr>
        <w:t>Salaries and employee benefits</w:t>
      </w:r>
    </w:p>
    <w:p>
      <w:pPr>
        <w:pStyle w:val="TextBody"/>
        <w:bidi w:val="0"/>
        <w:spacing w:lineRule="auto" w:line="288" w:before="0" w:after="160"/>
        <w:jc w:val="left"/>
        <w:rPr/>
      </w:pPr>
      <w:r>
        <w:rPr>
          <w:rFonts w:ascii="Frutiger LT 45 Light;sans-serif" w:hAnsi="Frutiger LT 45 Light;sans-serif"/>
          <w:b w:val="false"/>
          <w:color w:val="000000"/>
          <w:sz w:val="20"/>
        </w:rPr>
        <w:t xml:space="preserve">Salaries and employee benefits for the six months ended June 30, 2026 increased by </w:t>
      </w:r>
      <w:r>
        <w:rPr>
          <w:rFonts w:ascii="Frutiger LT 45 Light;sans-serif" w:hAnsi="Frutiger LT 45 Light;sans-serif"/>
          <w:b w:val="false"/>
          <w:color w:val="000000"/>
          <w:sz w:val="20"/>
          <w:shd w:fill="FFFFFF" w:val="clear"/>
        </w:rPr>
        <w:t>$4.0 million</w:t>
      </w:r>
      <w:r>
        <w:rPr>
          <w:rFonts w:ascii="Frutiger LT 45 Light;sans-serif" w:hAnsi="Frutiger LT 45 Light;sans-serif"/>
          <w:b w:val="false"/>
          <w:color w:val="000000"/>
          <w:sz w:val="20"/>
        </w:rPr>
        <w:t xml:space="preserve">, or </w:t>
      </w:r>
      <w:r>
        <w:rPr>
          <w:rFonts w:ascii="Frutiger LT 45 Light;sans-serif" w:hAnsi="Frutiger LT 45 Light;sans-serif"/>
          <w:b w:val="false"/>
          <w:color w:val="000000"/>
          <w:sz w:val="20"/>
          <w:shd w:fill="FFFFFF" w:val="clear"/>
        </w:rPr>
        <w:t>22.6%</w:t>
      </w:r>
      <w:r>
        <w:rPr>
          <w:rFonts w:ascii="Frutiger LT 45 Light;sans-serif" w:hAnsi="Frutiger LT 45 Light;sans-serif"/>
          <w:b w:val="false"/>
          <w:color w:val="000000"/>
          <w:sz w:val="20"/>
        </w:rPr>
        <w:t>, to $21.7 million compared to $17.7 million in the same period in the prior year. The increase was primarily driven by $6.5 million in salaries and employee benefit expenses, acquisitions and increase in corporate employee growth of $0.5 million, offset by a decrease of $2.6 million in stock-based compensation.</w:t>
      </w:r>
    </w:p>
    <w:p>
      <w:pPr>
        <w:pStyle w:val="TextBody"/>
        <w:bidi w:val="0"/>
        <w:spacing w:lineRule="auto" w:line="288" w:before="0" w:after="160"/>
        <w:jc w:val="left"/>
        <w:rPr>
          <w:rFonts w:ascii="Frutiger LT 45 Light;sans-serif" w:hAnsi="Frutiger LT 45 Light;sans-serif"/>
          <w:b w:val="false"/>
          <w:i/>
          <w:color w:val="000000"/>
          <w:sz w:val="20"/>
          <w:shd w:fill="FFFFFF" w:val="clear"/>
        </w:rPr>
      </w:pPr>
      <w:r>
        <w:rPr>
          <w:rFonts w:ascii="Frutiger LT 45 Light;sans-serif" w:hAnsi="Frutiger LT 45 Light;sans-serif"/>
          <w:b w:val="false"/>
          <w:i/>
          <w:color w:val="000000"/>
          <w:sz w:val="20"/>
          <w:shd w:fill="FFFFFF" w:val="clear"/>
        </w:rPr>
        <w:t>Other administrative expenses</w:t>
      </w:r>
    </w:p>
    <w:p>
      <w:pPr>
        <w:pStyle w:val="TextBody"/>
        <w:bidi w:val="0"/>
        <w:spacing w:lineRule="auto" w:line="288" w:before="0" w:after="160"/>
        <w:jc w:val="left"/>
        <w:rPr/>
      </w:pPr>
      <w:r>
        <w:rPr>
          <w:rFonts w:ascii="Frutiger LT 45 Light;sans-serif" w:hAnsi="Frutiger LT 45 Light;sans-serif"/>
          <w:b w:val="false"/>
          <w:color w:val="000000"/>
          <w:sz w:val="20"/>
          <w:shd w:fill="FFFFFF" w:val="clear"/>
        </w:rPr>
        <w:t xml:space="preserve">Other administrative expenses for the six months ended June 30, 2026 </w:t>
      </w:r>
      <w:r>
        <w:rPr>
          <w:rFonts w:ascii="Frutiger LT 45 Light;sans-serif" w:hAnsi="Frutiger LT 45 Light;sans-serif"/>
          <w:b w:val="false"/>
          <w:color w:val="000000"/>
          <w:sz w:val="20"/>
        </w:rPr>
        <w:t>increased</w:t>
      </w:r>
      <w:r>
        <w:rPr>
          <w:color w:val="000000"/>
          <w:shd w:fill="FFFFFF" w:val="clear"/>
        </w:rPr>
        <w:t xml:space="preserve"> </w:t>
      </w:r>
      <w:r>
        <w:rPr>
          <w:rFonts w:ascii="Frutiger LT 45 Light;sans-serif" w:hAnsi="Frutiger LT 45 Light;sans-serif"/>
          <w:b w:val="false"/>
          <w:color w:val="000000"/>
          <w:sz w:val="20"/>
          <w:shd w:fill="FFFFFF" w:val="clear"/>
        </w:rPr>
        <w:t xml:space="preserve">by $5.9 million, or </w:t>
      </w:r>
      <w:r>
        <w:rPr>
          <w:rFonts w:ascii="Frutiger LT 45 Light;sans-serif" w:hAnsi="Frutiger LT 45 Light;sans-serif"/>
          <w:b w:val="false"/>
          <w:color w:val="000000"/>
          <w:sz w:val="20"/>
        </w:rPr>
        <w:t>57.8%,</w:t>
      </w:r>
      <w:r>
        <w:rPr>
          <w:color w:val="000000"/>
          <w:shd w:fill="FFFFFF" w:val="clear"/>
        </w:rPr>
        <w:t xml:space="preserve"> </w:t>
      </w:r>
      <w:r>
        <w:rPr>
          <w:rFonts w:ascii="Frutiger LT 45 Light;sans-serif" w:hAnsi="Frutiger LT 45 Light;sans-serif"/>
          <w:b w:val="false"/>
          <w:color w:val="000000"/>
          <w:sz w:val="20"/>
          <w:shd w:fill="FFFFFF" w:val="clear"/>
        </w:rPr>
        <w:t xml:space="preserve">to </w:t>
      </w:r>
      <w:r>
        <w:rPr>
          <w:rFonts w:ascii="Frutiger LT 45 Light;sans-serif" w:hAnsi="Frutiger LT 45 Light;sans-serif"/>
          <w:b w:val="false"/>
          <w:color w:val="000000"/>
          <w:sz w:val="20"/>
        </w:rPr>
        <w:t>$16.0 million</w:t>
      </w:r>
      <w:r>
        <w:rPr>
          <w:color w:val="000000"/>
          <w:shd w:fill="FFFFFF" w:val="clear"/>
        </w:rPr>
        <w:t xml:space="preserve"> </w:t>
      </w:r>
      <w:r>
        <w:rPr>
          <w:rFonts w:ascii="Frutiger LT 45 Light;sans-serif" w:hAnsi="Frutiger LT 45 Light;sans-serif"/>
          <w:b w:val="false"/>
          <w:color w:val="000000"/>
          <w:sz w:val="20"/>
          <w:shd w:fill="FFFFFF" w:val="clear"/>
        </w:rPr>
        <w:t>compared to the same period in the prior year.</w:t>
      </w:r>
      <w:r>
        <w:rPr>
          <w:color w:val="000000"/>
        </w:rPr>
        <w:t xml:space="preserve"> </w:t>
      </w:r>
      <w:r>
        <w:rPr>
          <w:rFonts w:ascii="Frutiger LT 45 Light;sans-serif" w:hAnsi="Frutiger LT 45 Light;sans-serif"/>
          <w:b w:val="false"/>
          <w:color w:val="000000"/>
          <w:sz w:val="20"/>
          <w:shd w:fill="FFFFFF" w:val="clear"/>
        </w:rPr>
        <w:t>The increase was primarily due to $3.7 million of acquisitions, along with $2.2 million in information technology cost, insurance expense, and other costs associated with the growth of the business.</w:t>
      </w:r>
    </w:p>
    <w:p>
      <w:pPr>
        <w:pStyle w:val="TextBody"/>
        <w:bidi w:val="0"/>
        <w:spacing w:lineRule="auto" w:line="288" w:before="0" w:after="160"/>
        <w:jc w:val="left"/>
        <w:rPr>
          <w:rFonts w:ascii="Frutiger LT 45 Light;sans-serif" w:hAnsi="Frutiger LT 45 Light;sans-serif"/>
          <w:b w:val="false"/>
          <w:i/>
          <w:color w:val="000000"/>
          <w:sz w:val="20"/>
          <w:shd w:fill="FFFFFF" w:val="clear"/>
        </w:rPr>
      </w:pPr>
      <w:r>
        <w:rPr>
          <w:rFonts w:ascii="Frutiger LT 45 Light;sans-serif" w:hAnsi="Frutiger LT 45 Light;sans-serif"/>
          <w:b w:val="false"/>
          <w:i/>
          <w:color w:val="000000"/>
          <w:sz w:val="20"/>
          <w:shd w:fill="FFFFFF" w:val="clear"/>
        </w:rPr>
        <w:t>Depreciation and amortization</w:t>
      </w:r>
    </w:p>
    <w:p>
      <w:pPr>
        <w:pStyle w:val="TextBody"/>
        <w:bidi w:val="0"/>
        <w:spacing w:lineRule="auto" w:line="288" w:before="0" w:after="160"/>
        <w:jc w:val="left"/>
        <w:rPr>
          <w:rFonts w:ascii="Frutiger LT 45 Light;sans-serif" w:hAnsi="Frutiger LT 45 Light;sans-serif"/>
          <w:b w:val="false"/>
          <w:color w:val="000000"/>
          <w:sz w:val="20"/>
          <w:shd w:fill="FFFFFF" w:val="clear"/>
        </w:rPr>
      </w:pPr>
      <w:r>
        <w:rPr>
          <w:rFonts w:ascii="Frutiger LT 45 Light;sans-serif" w:hAnsi="Frutiger LT 45 Light;sans-serif"/>
          <w:b w:val="false"/>
          <w:color w:val="000000"/>
          <w:sz w:val="20"/>
          <w:shd w:fill="FFFFFF" w:val="clear"/>
        </w:rPr>
        <w:t xml:space="preserve">Depreciation and amortization for the six months ended June 30, 2026 was $13.2 million compared to $7.3 million in the same period in the prior year, reflecting an increase of $6.0 million, or 82.3%. The increase was primarily due to the amortization of intangible assets from our recent asset acquisitions. </w:t>
      </w:r>
    </w:p>
    <w:p>
      <w:pPr>
        <w:pStyle w:val="TextBody"/>
        <w:bidi w:val="0"/>
        <w:spacing w:lineRule="auto" w:line="288" w:before="0" w:after="160"/>
        <w:jc w:val="left"/>
        <w:rPr>
          <w:rFonts w:ascii="Frutiger LT 45 Light;sans-serif" w:hAnsi="Frutiger LT 45 Light;sans-serif"/>
          <w:b w:val="false"/>
          <w:i/>
          <w:color w:val="000000"/>
          <w:sz w:val="20"/>
        </w:rPr>
      </w:pPr>
      <w:r>
        <w:rPr>
          <w:rFonts w:ascii="Frutiger LT 45 Light;sans-serif" w:hAnsi="Frutiger LT 45 Light;sans-serif"/>
          <w:b w:val="false"/>
          <w:i/>
          <w:color w:val="000000"/>
          <w:sz w:val="20"/>
        </w:rPr>
        <w:t>Interest income</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Interest income for the six months ended June 30, 2026 was $2.0 million, compared to $3.6 million in the same period in the prior year, reflecting a decrease of $1.6 million. The decrease was attributable to the decline in cash balances which averaged $130.3 million over the six months ended June 30, 2026 compared to $159.8 million operating cash on hand as of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7955"/>
                <wp:effectExtent l="0" t="0" r="0" b="0"/>
                <wp:wrapNone/>
                <wp:docPr id="34" name="Frame3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22</w:t>
                      </w:r>
                    </w:p>
                  </w:txbxContent>
                </v:textbox>
                <w10:wrap type="none"/>
              </v:rect>
            </w:pict>
          </mc:Fallback>
        </mc:AlternateContent>
      </w:r>
    </w:p>
    <w:p>
      <w:pPr>
        <w:pStyle w:val="TextBody"/>
        <w:bidi w:val="0"/>
        <w:spacing w:lineRule="auto" w:line="288" w:before="0" w:after="160"/>
        <w:jc w:val="left"/>
        <w:rPr/>
      </w:pPr>
      <w:hyperlink w:anchor="i54bb4eec0dab4063b7a5a162c0b6d974_7">
        <w:r>
          <w:rPr>
            <w:rStyle w:val="InternetLink"/>
          </w:rPr>
          <w:t xml:space="preserve">Table </w:t>
        </w:r>
      </w:hyperlink>
      <w:hyperlink w:anchor="i54bb4eec0dab4063b7a5a162c0b6d974_7">
        <w:r>
          <w:rPr>
            <w:rStyle w:val="InternetLink"/>
          </w:rPr>
          <w:t>of</w:t>
        </w:r>
      </w:hyperlink>
      <w:hyperlink w:anchor="i54bb4eec0dab4063b7a5a162c0b6d974_7">
        <w:r>
          <w:rPr>
            <w:rStyle w:val="InternetLink"/>
          </w:rPr>
          <w:t xml:space="preserve"> Contents</w:t>
        </w:r>
      </w:hyperlink>
    </w:p>
    <w:p>
      <w:pPr>
        <w:pStyle w:val="TextBody"/>
        <w:bidi w:val="0"/>
        <w:spacing w:lineRule="auto" w:line="288" w:before="0" w:after="160"/>
        <w:jc w:val="left"/>
        <w:rPr>
          <w:rFonts w:ascii="Frutiger LT 45 Light;sans-serif" w:hAnsi="Frutiger LT 45 Light;sans-serif"/>
          <w:b w:val="false"/>
          <w:i/>
          <w:color w:val="000000"/>
          <w:sz w:val="20"/>
        </w:rPr>
      </w:pPr>
      <w:r>
        <w:rPr>
          <w:rFonts w:ascii="Frutiger LT 45 Light;sans-serif" w:hAnsi="Frutiger LT 45 Light;sans-serif"/>
          <w:b w:val="false"/>
          <w:i/>
          <w:color w:val="000000"/>
          <w:sz w:val="20"/>
        </w:rPr>
        <w:t>Income tax expense</w:t>
      </w:r>
    </w:p>
    <w:p>
      <w:pPr>
        <w:pStyle w:val="TextBody"/>
        <w:bidi w:val="0"/>
        <w:spacing w:lineRule="auto" w:line="288" w:before="0" w:after="0"/>
        <w:jc w:val="left"/>
        <w:rPr/>
      </w:pPr>
      <w:r>
        <w:rPr>
          <w:rFonts w:ascii="Frutiger LT 45 Light;sans-serif" w:hAnsi="Frutiger LT 45 Light;sans-serif"/>
          <w:b w:val="false"/>
          <w:color w:val="000000"/>
          <w:sz w:val="20"/>
        </w:rPr>
        <w:t>Income tax expense for the six months ended June 30, 2026 was $2.2 million compare</w:t>
      </w:r>
      <w:r>
        <w:rPr>
          <w:rFonts w:ascii="Frutiger LT 45 Light;sans-serif" w:hAnsi="Frutiger LT 45 Light;sans-serif"/>
          <w:b w:val="false"/>
          <w:color w:val="000000"/>
          <w:sz w:val="20"/>
          <w:shd w:fill="FFFFFF" w:val="clear"/>
        </w:rPr>
        <w:t xml:space="preserve">d to </w:t>
      </w:r>
      <w:r>
        <w:rPr>
          <w:rFonts w:ascii="Frutiger LT 45 Light;sans-serif" w:hAnsi="Frutiger LT 45 Light;sans-serif"/>
          <w:b w:val="false"/>
          <w:color w:val="000000"/>
          <w:sz w:val="20"/>
        </w:rPr>
        <w:t>$1.3 million</w:t>
      </w:r>
      <w:r>
        <w:rPr>
          <w:color w:val="000000"/>
          <w:shd w:fill="FFFFFF" w:val="clear"/>
        </w:rPr>
        <w:t xml:space="preserve"> </w:t>
      </w:r>
      <w:r>
        <w:rPr>
          <w:rFonts w:ascii="Frutiger LT 45 Light;sans-serif" w:hAnsi="Frutiger LT 45 Light;sans-serif"/>
          <w:b w:val="false"/>
          <w:color w:val="000000"/>
          <w:sz w:val="20"/>
          <w:shd w:fill="FFFFFF" w:val="clear"/>
        </w:rPr>
        <w:t>for</w:t>
      </w:r>
      <w:r>
        <w:rPr>
          <w:color w:val="000000"/>
        </w:rPr>
        <w:t xml:space="preserve"> </w:t>
      </w:r>
      <w:r>
        <w:rPr>
          <w:rFonts w:ascii="Frutiger LT 45 Light;sans-serif" w:hAnsi="Frutiger LT 45 Light;sans-serif"/>
          <w:b w:val="false"/>
          <w:color w:val="000000"/>
          <w:sz w:val="20"/>
        </w:rPr>
        <w:t>the same period in the prior year.</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45 Light;sans-serif" w:hAnsi="Frutiger LT 45 Light;sans-serif"/>
          <w:b/>
          <w:color w:val="000000"/>
          <w:sz w:val="24"/>
        </w:rPr>
      </w:pPr>
      <w:r>
        <w:rPr>
          <w:rFonts w:ascii="Frutiger LT 45 Light;sans-serif" w:hAnsi="Frutiger LT 45 Light;sans-serif"/>
          <w:b/>
          <w:color w:val="000000"/>
          <w:sz w:val="24"/>
        </w:rPr>
        <w:t>Key Performance Indicators</w:t>
      </w:r>
    </w:p>
    <w:p>
      <w:pPr>
        <w:pStyle w:val="TextBody"/>
        <w:bidi w:val="0"/>
        <w:spacing w:lineRule="auto" w:line="288" w:before="0" w:after="160"/>
        <w:jc w:val="left"/>
        <w:rPr>
          <w:rFonts w:ascii="Frutiger LT 45 Light;sans-serif" w:hAnsi="Frutiger LT 45 Light;sans-serif"/>
          <w:b/>
          <w:i/>
          <w:color w:val="000000"/>
          <w:sz w:val="20"/>
        </w:rPr>
      </w:pPr>
      <w:r>
        <w:rPr>
          <w:rFonts w:ascii="Frutiger LT 45 Light;sans-serif" w:hAnsi="Frutiger LT 45 Light;sans-serif"/>
          <w:b/>
          <w:i/>
          <w:color w:val="000000"/>
          <w:sz w:val="20"/>
        </w:rPr>
        <w:t>Total Written Premium</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 xml:space="preserve">Total Written Premium represents, for any reported period, the total amount of current premium (net of cancellation) placed with insurance carriers. We utilize Total Written Premium as a key performance indicator when planning, monitoring and evaluating our performance. We believe Total Written Premium is a useful metric because it is the underlying driver of the majority of our revenue. </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The following table presents the disaggregation of Total Written Premium by offerings and business mix and line of business (in thousands):</w:t>
      </w:r>
    </w:p>
    <w:tbl>
      <w:tblPr>
        <w:tblW w:w="11447" w:type="dxa"/>
        <w:jc w:val="left"/>
        <w:tblInd w:w="0" w:type="dxa"/>
        <w:tblLayout w:type="fixed"/>
        <w:tblCellMar>
          <w:top w:w="28" w:type="dxa"/>
          <w:left w:w="28" w:type="dxa"/>
          <w:bottom w:w="28" w:type="dxa"/>
          <w:right w:w="28" w:type="dxa"/>
        </w:tblCellMar>
      </w:tblPr>
      <w:tblGrid>
        <w:gridCol w:w="531"/>
        <w:gridCol w:w="460"/>
        <w:gridCol w:w="255"/>
        <w:gridCol w:w="196"/>
        <w:gridCol w:w="736"/>
        <w:gridCol w:w="109"/>
        <w:gridCol w:w="109"/>
        <w:gridCol w:w="109"/>
        <w:gridCol w:w="109"/>
        <w:gridCol w:w="256"/>
        <w:gridCol w:w="165"/>
        <w:gridCol w:w="253"/>
        <w:gridCol w:w="109"/>
        <w:gridCol w:w="109"/>
        <w:gridCol w:w="109"/>
        <w:gridCol w:w="196"/>
        <w:gridCol w:w="736"/>
        <w:gridCol w:w="109"/>
        <w:gridCol w:w="109"/>
        <w:gridCol w:w="109"/>
        <w:gridCol w:w="109"/>
        <w:gridCol w:w="256"/>
        <w:gridCol w:w="165"/>
        <w:gridCol w:w="253"/>
        <w:gridCol w:w="109"/>
        <w:gridCol w:w="109"/>
        <w:gridCol w:w="109"/>
        <w:gridCol w:w="196"/>
        <w:gridCol w:w="871"/>
        <w:gridCol w:w="109"/>
        <w:gridCol w:w="109"/>
        <w:gridCol w:w="109"/>
        <w:gridCol w:w="109"/>
        <w:gridCol w:w="256"/>
        <w:gridCol w:w="165"/>
        <w:gridCol w:w="253"/>
        <w:gridCol w:w="109"/>
        <w:gridCol w:w="109"/>
        <w:gridCol w:w="109"/>
        <w:gridCol w:w="196"/>
        <w:gridCol w:w="736"/>
        <w:gridCol w:w="109"/>
        <w:gridCol w:w="109"/>
        <w:gridCol w:w="109"/>
        <w:gridCol w:w="109"/>
        <w:gridCol w:w="256"/>
        <w:gridCol w:w="165"/>
        <w:gridCol w:w="253"/>
        <w:gridCol w:w="109"/>
        <w:gridCol w:w="109"/>
        <w:gridCol w:w="109"/>
        <w:gridCol w:w="109"/>
        <w:gridCol w:w="109"/>
        <w:gridCol w:w="109"/>
        <w:gridCol w:w="109"/>
        <w:gridCol w:w="154"/>
      </w:tblGrid>
      <w:tr>
        <w:trPr/>
        <w:tc>
          <w:tcPr>
            <w:tcW w:w="531"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1" w:type="dxa"/>
            <w:gridSpan w:val="21"/>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gridSpan w:val="21"/>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 of 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4"/>
              </w:rPr>
            </w:pPr>
            <w:r>
              <w:rPr>
                <w:rFonts w:ascii="Frutiger LT 45 Light;sans-serif" w:hAnsi="Frutiger LT 45 Light;sans-serif"/>
                <w:b/>
                <w:color w:val="000000"/>
                <w:sz w:val="14"/>
              </w:rPr>
              <w:t>Offerings: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Insurance Services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Agency-in-a-Box</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324,516 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57 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293,846 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65 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602,279 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59 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543,321 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66 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Corporate Branches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114,563 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20 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95,551 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21 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200,340 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19 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163,650 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20 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Total Insurance Services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439,079 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77 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389,397 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86 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802,619 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78 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706,971 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86 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TWFG MGA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130,812 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23 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60,891 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14 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225,491 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22 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114,280 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14 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Total written premium</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569,891 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100 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450,288 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100 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1,028,110 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100 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821,251 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100 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4"/>
              </w:rPr>
            </w:pPr>
            <w:r>
              <w:rPr>
                <w:rFonts w:ascii="Frutiger LT 45 Light;sans-serif" w:hAnsi="Frutiger LT 45 Light;sans-serif"/>
                <w:b/>
                <w:color w:val="000000"/>
                <w:sz w:val="14"/>
              </w:rPr>
              <w:t>Business Mix:</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Insurance Services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Renewal business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350,004 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61 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301,930 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67 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635,029 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62 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546,775 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67 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New business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89,075 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16 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87,467 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19 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167,590 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16 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160,196 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20 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Total Insurance Services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439,079 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77 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389,397 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86 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802,619 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78 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706,971 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87 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TWFG MGA</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Renewal business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66,771 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12 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47,366 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11 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122,433 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12 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83,741 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10 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New business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64,041 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11 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13,525 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3 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103,058 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10 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30,539 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3 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Total TWFG MGA</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130,812 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23 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60,891 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14 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225,491 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22 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114,280 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13 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Total written premium</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569,891 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100 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450,288 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100 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1,028,110 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100 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821,251 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100 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4"/>
              </w:rPr>
            </w:pPr>
            <w:r>
              <w:rPr>
                <w:rFonts w:ascii="Frutiger LT 45 Light;sans-serif" w:hAnsi="Frutiger LT 45 Light;sans-serif"/>
                <w:b/>
                <w:color w:val="000000"/>
                <w:sz w:val="14"/>
              </w:rPr>
              <w:t>Written Premium Retention: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Insurance Services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90 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90 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90 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89 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TWFG MGA</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110 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80 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107 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81 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Consolidated</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93 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89 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92 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88 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4"/>
              </w:rPr>
            </w:pPr>
            <w:r>
              <w:rPr>
                <w:rFonts w:ascii="Frutiger LT 45 Light;sans-serif" w:hAnsi="Frutiger LT 45 Light;sans-serif"/>
                <w:b/>
                <w:color w:val="000000"/>
                <w:sz w:val="14"/>
              </w:rPr>
              <w:t>Line of Business: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Personal lines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457,233 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80 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365,409 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81 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831,377 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81 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663,699 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81 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Commercial lines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112,658 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20 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84,879 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19 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196,733 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19 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157,552 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19 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Total written premium</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569,891 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100 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450,288 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100 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1,028,110 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100 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821,251 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100 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7955"/>
                <wp:effectExtent l="0" t="0" r="0" b="0"/>
                <wp:wrapNone/>
                <wp:docPr id="35" name="Frame3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23</w:t>
                      </w:r>
                    </w:p>
                  </w:txbxContent>
                </v:textbox>
                <w10:wrap type="none"/>
              </v:rect>
            </w:pict>
          </mc:Fallback>
        </mc:AlternateContent>
      </w:r>
    </w:p>
    <w:p>
      <w:pPr>
        <w:pStyle w:val="TextBody"/>
        <w:bidi w:val="0"/>
        <w:spacing w:lineRule="auto" w:line="288" w:before="0" w:after="160"/>
        <w:jc w:val="left"/>
        <w:rPr/>
      </w:pPr>
      <w:hyperlink w:anchor="i54bb4eec0dab4063b7a5a162c0b6d974_7">
        <w:r>
          <w:rPr>
            <w:rStyle w:val="InternetLink"/>
          </w:rPr>
          <w:t xml:space="preserve">Table </w:t>
        </w:r>
      </w:hyperlink>
      <w:hyperlink w:anchor="i54bb4eec0dab4063b7a5a162c0b6d974_7">
        <w:r>
          <w:rPr>
            <w:rStyle w:val="InternetLink"/>
          </w:rPr>
          <w:t>of</w:t>
        </w:r>
      </w:hyperlink>
      <w:hyperlink w:anchor="i54bb4eec0dab4063b7a5a162c0b6d974_7">
        <w:r>
          <w:rPr>
            <w:rStyle w:val="InternetLink"/>
          </w:rPr>
          <w:t xml:space="preserve"> Contents</w:t>
        </w:r>
      </w:hyperlink>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The following table presents the dollar and percent change for Total Written Premium by offerings and business mix (in thousands):</w:t>
      </w:r>
    </w:p>
    <w:tbl>
      <w:tblPr>
        <w:tblW w:w="12357" w:type="dxa"/>
        <w:jc w:val="left"/>
        <w:tblInd w:w="0" w:type="dxa"/>
        <w:tblLayout w:type="fixed"/>
        <w:tblCellMar>
          <w:top w:w="28" w:type="dxa"/>
          <w:left w:w="28" w:type="dxa"/>
          <w:bottom w:w="28" w:type="dxa"/>
          <w:right w:w="28" w:type="dxa"/>
        </w:tblCellMar>
      </w:tblPr>
      <w:tblGrid>
        <w:gridCol w:w="531"/>
        <w:gridCol w:w="460"/>
        <w:gridCol w:w="255"/>
        <w:gridCol w:w="196"/>
        <w:gridCol w:w="736"/>
        <w:gridCol w:w="109"/>
        <w:gridCol w:w="109"/>
        <w:gridCol w:w="109"/>
        <w:gridCol w:w="109"/>
        <w:gridCol w:w="278"/>
        <w:gridCol w:w="278"/>
        <w:gridCol w:w="443"/>
        <w:gridCol w:w="109"/>
        <w:gridCol w:w="109"/>
        <w:gridCol w:w="109"/>
        <w:gridCol w:w="196"/>
        <w:gridCol w:w="646"/>
        <w:gridCol w:w="109"/>
        <w:gridCol w:w="109"/>
        <w:gridCol w:w="109"/>
        <w:gridCol w:w="109"/>
        <w:gridCol w:w="240"/>
        <w:gridCol w:w="241"/>
        <w:gridCol w:w="443"/>
        <w:gridCol w:w="109"/>
        <w:gridCol w:w="109"/>
        <w:gridCol w:w="109"/>
        <w:gridCol w:w="196"/>
        <w:gridCol w:w="736"/>
        <w:gridCol w:w="109"/>
        <w:gridCol w:w="109"/>
        <w:gridCol w:w="109"/>
        <w:gridCol w:w="109"/>
        <w:gridCol w:w="278"/>
        <w:gridCol w:w="278"/>
        <w:gridCol w:w="443"/>
        <w:gridCol w:w="109"/>
        <w:gridCol w:w="109"/>
        <w:gridCol w:w="109"/>
        <w:gridCol w:w="196"/>
        <w:gridCol w:w="736"/>
        <w:gridCol w:w="109"/>
        <w:gridCol w:w="109"/>
        <w:gridCol w:w="109"/>
        <w:gridCol w:w="109"/>
        <w:gridCol w:w="233"/>
        <w:gridCol w:w="233"/>
        <w:gridCol w:w="443"/>
        <w:gridCol w:w="109"/>
        <w:gridCol w:w="109"/>
        <w:gridCol w:w="109"/>
        <w:gridCol w:w="109"/>
        <w:gridCol w:w="109"/>
        <w:gridCol w:w="109"/>
        <w:gridCol w:w="109"/>
        <w:gridCol w:w="154"/>
      </w:tblGrid>
      <w:tr>
        <w:trPr/>
        <w:tc>
          <w:tcPr>
            <w:tcW w:w="531"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6" w:type="dxa"/>
            <w:gridSpan w:val="21"/>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1" w:type="dxa"/>
            <w:gridSpan w:val="21"/>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4"/>
              </w:rPr>
            </w:pPr>
            <w:r>
              <w:rPr>
                <w:rFonts w:ascii="Frutiger LT 45 Light;sans-serif" w:hAnsi="Frutiger LT 45 Light;sans-serif"/>
                <w:b/>
                <w:color w:val="000000"/>
                <w:sz w:val="14"/>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4"/>
              </w:rPr>
            </w:pPr>
            <w:r>
              <w:rPr>
                <w:rFonts w:ascii="Frutiger LT 45 Light;sans-serif" w:hAnsi="Frutiger LT 45 Light;sans-serif"/>
                <w:b/>
                <w:color w:val="000000"/>
                <w:sz w:val="14"/>
              </w:rPr>
              <w:t>Offerings: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Insurance Services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Agency-in-a-Box</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30,670 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10.4 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37,643 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14.7 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58,958 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10.9 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68,182 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14.3 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Corporate Branches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19,012 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17,382 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36,690 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27,597 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20.3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TWFG MGA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69,921 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114.8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111,211 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97.3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10,571 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10.2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4"/>
              </w:rPr>
            </w:pPr>
            <w:r>
              <w:rPr>
                <w:rFonts w:ascii="Frutiger LT 45 Light;sans-serif" w:hAnsi="Frutiger LT 45 Light;sans-serif"/>
                <w:b/>
                <w:color w:val="000000"/>
                <w:sz w:val="14"/>
              </w:rPr>
              <w:t>Total change in written premium</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119,603 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26.6 </w:t>
            </w:r>
          </w:p>
        </w:tc>
        <w:tc>
          <w:tcPr>
            <w:tcW w:w="4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56,653 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14.4 </w:t>
            </w:r>
          </w:p>
        </w:tc>
        <w:tc>
          <w:tcPr>
            <w:tcW w:w="4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206,859 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25.2 </w:t>
            </w:r>
          </w:p>
        </w:tc>
        <w:tc>
          <w:tcPr>
            <w:tcW w:w="4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106,350 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14.9 </w:t>
            </w:r>
          </w:p>
        </w:tc>
        <w:tc>
          <w:tcPr>
            <w:tcW w:w="4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4"/>
              </w:rPr>
            </w:pPr>
            <w:r>
              <w:rPr>
                <w:rFonts w:ascii="Frutiger LT 45 Light;sans-serif" w:hAnsi="Frutiger LT 45 Light;sans-serif"/>
                <w:b/>
                <w:color w:val="000000"/>
                <w:sz w:val="14"/>
              </w:rPr>
              <w:t>Business Mix:</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Insurance Services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Renewal business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48,074 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15.9 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41,809 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16.1 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88,254 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16.1 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72,177 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15.2 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New business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1.8 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13,216 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17.8 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7,394 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4.6 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23,602 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17.3 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TWFG MGA</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Renewal business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19,405 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41.0 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3,541 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8.1 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38,692 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46.2 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4,452 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5.6 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New business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50,516 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373.5 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(1,913)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(12.4)</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72,519 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237.5 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6,119 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25.1 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4"/>
              </w:rPr>
            </w:pPr>
            <w:r>
              <w:rPr>
                <w:rFonts w:ascii="Frutiger LT 45 Light;sans-serif" w:hAnsi="Frutiger LT 45 Light;sans-serif"/>
                <w:b/>
                <w:color w:val="000000"/>
                <w:sz w:val="14"/>
              </w:rPr>
              <w:t>Consolidated Business Mix:</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Consolidated renewal business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67,479 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19.3 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45,350 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14.9 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126,946 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15.5 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76,629 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10.7 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Consolidated new business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52,124 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51.6 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11,303 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12.6 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79,913 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9.7 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29,721 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4.2 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4"/>
              </w:rPr>
            </w:pPr>
            <w:r>
              <w:rPr>
                <w:rFonts w:ascii="Frutiger LT 45 Light;sans-serif" w:hAnsi="Frutiger LT 45 Light;sans-serif"/>
                <w:b/>
                <w:color w:val="000000"/>
                <w:sz w:val="14"/>
              </w:rPr>
              <w:t>Total change in written premium</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119,603 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26.6 </w:t>
            </w:r>
          </w:p>
        </w:tc>
        <w:tc>
          <w:tcPr>
            <w:tcW w:w="4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56,653 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14.4 </w:t>
            </w:r>
          </w:p>
        </w:tc>
        <w:tc>
          <w:tcPr>
            <w:tcW w:w="4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206,859 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25.2 </w:t>
            </w:r>
          </w:p>
        </w:tc>
        <w:tc>
          <w:tcPr>
            <w:tcW w:w="4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106,350 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14.9 </w:t>
            </w:r>
          </w:p>
        </w:tc>
        <w:tc>
          <w:tcPr>
            <w:tcW w:w="4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4"/>
              </w:rPr>
            </w:pPr>
            <w:r>
              <w:rPr>
                <w:rFonts w:ascii="Frutiger LT 45 Light;sans-serif" w:hAnsi="Frutiger LT 45 Light;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hanging="360"/>
        <w:jc w:val="left"/>
        <w:rPr>
          <w:rFonts w:ascii="Frutiger LT 45 Light;sans-serif" w:hAnsi="Frutiger LT 45 Light;sans-serif"/>
          <w:b w:val="false"/>
          <w:i/>
          <w:color w:val="000000"/>
          <w:sz w:val="20"/>
        </w:rPr>
      </w:pPr>
      <w:r>
        <w:rPr>
          <w:rFonts w:ascii="Frutiger LT 45 Light;sans-serif" w:hAnsi="Frutiger LT 45 Light;sans-serif"/>
          <w:b w:val="false"/>
          <w:i/>
          <w:color w:val="000000"/>
          <w:sz w:val="20"/>
        </w:rPr>
        <w:t>Comparison of the Three Months Ended June 30, 2026 and 2025</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 xml:space="preserve">Total Written Premium for the three months ended June 30, 2026 increased by $119.6 million, or 26.6%, compared to the same period in the prior year. This increase was a result of growth in renewal and new business of $67.5 million, or 19.3%, and $52.1 million, or 51.6%, respectively. Within our Insurance Services offering, renewal business increased $48.1 million, or 15.9%, as compared to $41.8 million, or 16.1%, in the prior year period. New business grew $1.6 million, or 1.8%, as compared to $13.2 million, or 17.8%, in the prior year period. Within our MGA offering, renewal business increased $19.4 million, or 41.0%, as compared to $3.5 million, or 8.1%, in the prior year period. New business grew $50.5 million, or 373.5%, as compared to a decrease of $1.9 million, or 12.4%, in the prior year period. </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For the three months ended June 30, 2026 and 2025, our consolidated written premium retention was 93% and 89%, respectively. The increase in retention is correlated to the shift in renewal business growth of $67.5 million, or 19.3%, for the three months ended June 30, 2026, compared to growth of $45.4 million, or 14.9%, in the same period of the prior year. This increase in retention was primarily attributable to the continued expansion of our MGA offerings, and the reduced impact of carrier rate decreases relative to prior periods. Premium retention is calculated based on premium dollars rather than policy counts and is therefore influenced by changes in premium rates, coverage levels, and business mix. Excluding the impacts of TWFG MGA FL, MGA premium retention would have been approximately 71%, and consolidated premium retention would have been approximately 88%, reflecting underlying policy retention trends, a higher mix of new business, and moderating rate increases in the current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7955"/>
                <wp:effectExtent l="0" t="0" r="0" b="0"/>
                <wp:wrapNone/>
                <wp:docPr id="36" name="Frame3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24</w:t>
                      </w:r>
                    </w:p>
                  </w:txbxContent>
                </v:textbox>
                <w10:wrap type="none"/>
              </v:rect>
            </w:pict>
          </mc:Fallback>
        </mc:AlternateContent>
      </w:r>
    </w:p>
    <w:p>
      <w:pPr>
        <w:pStyle w:val="TextBody"/>
        <w:bidi w:val="0"/>
        <w:spacing w:lineRule="auto" w:line="288" w:before="0" w:after="160"/>
        <w:jc w:val="left"/>
        <w:rPr/>
      </w:pPr>
      <w:hyperlink w:anchor="i54bb4eec0dab4063b7a5a162c0b6d974_7">
        <w:r>
          <w:rPr>
            <w:rStyle w:val="InternetLink"/>
          </w:rPr>
          <w:t xml:space="preserve">Table </w:t>
        </w:r>
      </w:hyperlink>
      <w:hyperlink w:anchor="i54bb4eec0dab4063b7a5a162c0b6d974_7">
        <w:r>
          <w:rPr>
            <w:rStyle w:val="InternetLink"/>
          </w:rPr>
          <w:t>of</w:t>
        </w:r>
      </w:hyperlink>
      <w:hyperlink w:anchor="i54bb4eec0dab4063b7a5a162c0b6d974_7">
        <w:r>
          <w:rPr>
            <w:rStyle w:val="InternetLink"/>
          </w:rPr>
          <w:t xml:space="preserve"> Contents</w:t>
        </w:r>
      </w:hyperlink>
    </w:p>
    <w:p>
      <w:pPr>
        <w:pStyle w:val="TextBody"/>
        <w:bidi w:val="0"/>
        <w:spacing w:lineRule="auto" w:line="288" w:before="0" w:after="160"/>
        <w:jc w:val="left"/>
        <w:rPr>
          <w:rFonts w:ascii="Frutiger LT 45 Light;sans-serif" w:hAnsi="Frutiger LT 45 Light;sans-serif"/>
          <w:b w:val="false"/>
          <w:i/>
          <w:color w:val="000000"/>
          <w:sz w:val="20"/>
        </w:rPr>
      </w:pPr>
      <w:r>
        <w:rPr>
          <w:rFonts w:ascii="Frutiger LT 45 Light;sans-serif" w:hAnsi="Frutiger LT 45 Light;sans-serif"/>
          <w:b w:val="false"/>
          <w:i/>
          <w:color w:val="000000"/>
          <w:sz w:val="20"/>
        </w:rPr>
        <w:t>Comparison of the six months ended June 30, 2026 and 2025</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Total Written Premium for the six months ended June 30, 2026 increased by $206.9 million, or 25.2%, compared to the same period in the prior year. This increase was a result of growth in renewal and new business of $79.9 million, or 9.7%, and $126.9 million, or 15.5%, respectively. Within our Insurance Services offering, new business grew $7.4 million, or 4.6%, as compared to $23.6 million, or 17.3%, in the prior year period. Renewal business increased $88.3 million, or 16.1%, as compared to $72.2 million, or 15.2%, in the prior year period. Within our MGA offering, new business grew $72.5 million, or 237.5%, as compared to $6.1 million, or 25.1%, in the prior year period. Renewal business increased $38.7 million, or 46.2%, as compared to $4.5 million, or 5.6%, in the prior year period.</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For the six months ended June 30, 2026 and 2025, our consolidated written premium retention was 92% and 88%, respectively. The increase in retention is correlated to the shift in renewal business growth of $126.9 million, or 15.5%, for the six months ended June 30, 2026, compared to growth of $76.6 million, or 10.7%, in the same period of the prior year. This increase in retention was primarily attributable to the continued expansion of our MGA offerings, and the reduced impact of carrier rate decreases relative to prior periods.</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45 Light;sans-serif" w:hAnsi="Frutiger LT 45 Light;sans-serif"/>
          <w:b/>
          <w:color w:val="000000"/>
          <w:sz w:val="24"/>
        </w:rPr>
      </w:pPr>
      <w:r>
        <w:rPr>
          <w:rFonts w:ascii="Frutiger LT 45 Light;sans-serif" w:hAnsi="Frutiger LT 45 Light;sans-serif"/>
          <w:b/>
          <w:color w:val="000000"/>
          <w:sz w:val="24"/>
        </w:rPr>
        <w:t xml:space="preserve">Non-GAAP Financial Measures </w:t>
      </w:r>
    </w:p>
    <w:p>
      <w:pPr>
        <w:pStyle w:val="TextBody"/>
        <w:bidi w:val="0"/>
        <w:spacing w:lineRule="auto" w:line="288" w:before="0" w:after="160"/>
        <w:jc w:val="left"/>
        <w:rPr/>
      </w:pPr>
      <w:r>
        <w:rPr>
          <w:rFonts w:ascii="Frutiger LT 45 Light;sans-serif" w:hAnsi="Frutiger LT 45 Light;sans-serif"/>
          <w:b/>
          <w:i/>
          <w:color w:val="000000"/>
          <w:sz w:val="20"/>
        </w:rPr>
        <w:t>Organic Revenue.</w:t>
      </w:r>
      <w:r>
        <w:rPr>
          <w:color w:val="000000"/>
        </w:rPr>
        <w:t xml:space="preserve"> </w:t>
      </w:r>
      <w:r>
        <w:rPr>
          <w:rFonts w:ascii="Frutiger LT 45 Light;sans-serif" w:hAnsi="Frutiger LT 45 Light;sans-serif"/>
          <w:b w:val="false"/>
          <w:color w:val="000000"/>
          <w:sz w:val="20"/>
        </w:rPr>
        <w:t>Organic Revenue is total revenue (the most directly comparable GAAP measure) for the relevant period, excluding contingent income, non-policy fee income, other income and those revenues generated from acquired businesses with over $0.5 million in annualized revenue that have not reached the twelve-month owned mark.</w:t>
      </w:r>
    </w:p>
    <w:p>
      <w:pPr>
        <w:pStyle w:val="TextBody"/>
        <w:bidi w:val="0"/>
        <w:spacing w:lineRule="auto" w:line="288" w:before="0" w:after="0"/>
        <w:jc w:val="left"/>
        <w:rPr/>
      </w:pPr>
      <w:r>
        <w:rPr>
          <w:rFonts w:ascii="Frutiger LT 45 Light;sans-serif" w:hAnsi="Frutiger LT 45 Light;sans-serif"/>
          <w:b/>
          <w:i/>
          <w:color w:val="000000"/>
          <w:sz w:val="20"/>
        </w:rPr>
        <w:t>Organic Revenue Growth.</w:t>
      </w:r>
      <w:r>
        <w:rPr>
          <w:color w:val="000000"/>
        </w:rPr>
        <w:t xml:space="preserve"> </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Organic Revenue Growth is the change in Organic Revenue period-to-period, with prior period results adjusted to include revenues that were excluded in the prior period because the relevant acquired businesses had not reached the twelve-month-owned milestone, but have reached the twelve-month owned milestone in the current period. We believe Organic Revenue Growth is an appropriate measure of operating performance because it eliminates the impact of acquisitions, which affects the comparability of results from period-to-period.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7955"/>
                <wp:effectExtent l="0" t="0" r="0" b="0"/>
                <wp:wrapNone/>
                <wp:docPr id="37" name="Frame3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25</w:t>
                      </w:r>
                    </w:p>
                  </w:txbxContent>
                </v:textbox>
                <w10:wrap type="none"/>
              </v:rect>
            </w:pict>
          </mc:Fallback>
        </mc:AlternateContent>
      </w:r>
    </w:p>
    <w:p>
      <w:pPr>
        <w:pStyle w:val="TextBody"/>
        <w:bidi w:val="0"/>
        <w:spacing w:lineRule="auto" w:line="288" w:before="0" w:after="160"/>
        <w:jc w:val="left"/>
        <w:rPr/>
      </w:pPr>
      <w:hyperlink w:anchor="i54bb4eec0dab4063b7a5a162c0b6d974_7">
        <w:r>
          <w:rPr>
            <w:rStyle w:val="InternetLink"/>
          </w:rPr>
          <w:t xml:space="preserve">Table </w:t>
        </w:r>
      </w:hyperlink>
      <w:hyperlink w:anchor="i54bb4eec0dab4063b7a5a162c0b6d974_7">
        <w:r>
          <w:rPr>
            <w:rStyle w:val="InternetLink"/>
          </w:rPr>
          <w:t>of</w:t>
        </w:r>
      </w:hyperlink>
      <w:hyperlink w:anchor="i54bb4eec0dab4063b7a5a162c0b6d974_7">
        <w:r>
          <w:rPr>
            <w:rStyle w:val="InternetLink"/>
          </w:rPr>
          <w:t xml:space="preserve"> Contents</w:t>
        </w:r>
      </w:hyperlink>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A reconciliation of Organic Revenue and Organic Revenue Growth Rate to Total Revenue and Total Revenue Growth Rate, the most directly comparable GAAP measures, for each of the periods indicated is as follows (in thousands):</w:t>
      </w:r>
    </w:p>
    <w:tbl>
      <w:tblPr>
        <w:tblW w:w="10205" w:type="dxa"/>
        <w:jc w:val="left"/>
        <w:tblInd w:w="0" w:type="dxa"/>
        <w:tblLayout w:type="fixed"/>
        <w:tblCellMar>
          <w:top w:w="28" w:type="dxa"/>
          <w:left w:w="28" w:type="dxa"/>
          <w:bottom w:w="28" w:type="dxa"/>
          <w:right w:w="28" w:type="dxa"/>
        </w:tblCellMar>
      </w:tblPr>
      <w:tblGrid>
        <w:gridCol w:w="1507"/>
        <w:gridCol w:w="1321"/>
        <w:gridCol w:w="1321"/>
        <w:gridCol w:w="402"/>
        <w:gridCol w:w="211"/>
        <w:gridCol w:w="494"/>
        <w:gridCol w:w="205"/>
        <w:gridCol w:w="205"/>
        <w:gridCol w:w="205"/>
        <w:gridCol w:w="402"/>
        <w:gridCol w:w="211"/>
        <w:gridCol w:w="494"/>
        <w:gridCol w:w="109"/>
        <w:gridCol w:w="109"/>
        <w:gridCol w:w="109"/>
        <w:gridCol w:w="364"/>
        <w:gridCol w:w="233"/>
        <w:gridCol w:w="548"/>
        <w:gridCol w:w="186"/>
        <w:gridCol w:w="186"/>
        <w:gridCol w:w="186"/>
        <w:gridCol w:w="364"/>
        <w:gridCol w:w="219"/>
        <w:gridCol w:w="614"/>
      </w:tblGrid>
      <w:tr>
        <w:trPr/>
        <w:tc>
          <w:tcPr>
            <w:tcW w:w="1507"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414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Three Months Ended June 30,</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0"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Six Months Ended June 30,</w:t>
            </w:r>
          </w:p>
        </w:tc>
      </w:tr>
      <w:tr>
        <w:trPr/>
        <w:tc>
          <w:tcPr>
            <w:tcW w:w="4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2026</w:t>
            </w:r>
          </w:p>
        </w:tc>
        <w:tc>
          <w:tcPr>
            <w:tcW w:w="6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2026</w:t>
            </w:r>
          </w:p>
        </w:tc>
        <w:tc>
          <w:tcPr>
            <w:tcW w:w="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2025</w:t>
            </w:r>
          </w:p>
        </w:tc>
      </w:tr>
      <w:tr>
        <w:trPr/>
        <w:tc>
          <w:tcPr>
            <w:tcW w:w="4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Total Revenues</w:t>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87,511</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60,308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160,352</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114,131</w:t>
            </w:r>
          </w:p>
        </w:tc>
      </w:tr>
      <w:tr>
        <w:trPr/>
        <w:tc>
          <w:tcPr>
            <w:tcW w:w="4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Frutiger LT 45 Light;sans-serif" w:hAnsi="Frutiger LT 45 Light;sans-serif"/>
                <w:b w:val="false"/>
                <w:color w:val="000000"/>
                <w:sz w:val="16"/>
              </w:rPr>
              <w:t>Acquisition adjustments</w:t>
            </w:r>
            <w:r>
              <w:rPr>
                <w:rFonts w:ascii="Frutiger LT 45 Light;sans-serif" w:hAnsi="Frutiger LT 45 Light;sans-serif"/>
                <w:b w:val="false"/>
                <w:color w:val="000000"/>
                <w:sz w:val="10"/>
              </w:rPr>
              <w:t>(1)</w:t>
            </w:r>
          </w:p>
        </w:tc>
        <w:tc>
          <w:tcPr>
            <w:tcW w:w="1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(6,878)</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(1,524)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(21,019)</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(2,133)</w:t>
            </w:r>
          </w:p>
        </w:tc>
      </w:tr>
      <w:tr>
        <w:trPr/>
        <w:tc>
          <w:tcPr>
            <w:tcW w:w="4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Contingent income</w:t>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(2,167)</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(4,102)</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(3,696)</w:t>
            </w:r>
          </w:p>
        </w:tc>
      </w:tr>
      <w:tr>
        <w:trPr/>
        <w:tc>
          <w:tcPr>
            <w:tcW w:w="4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Fee income</w:t>
            </w:r>
          </w:p>
        </w:tc>
        <w:tc>
          <w:tcPr>
            <w:tcW w:w="1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(4,165)</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(3,329)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(7,513)</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(6,340)</w:t>
            </w:r>
          </w:p>
        </w:tc>
      </w:tr>
      <w:tr>
        <w:trPr/>
        <w:tc>
          <w:tcPr>
            <w:tcW w:w="4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Other income</w:t>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(536)</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(1,043)</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(748)</w:t>
            </w:r>
          </w:p>
        </w:tc>
      </w:tr>
      <w:tr>
        <w:trPr/>
        <w:tc>
          <w:tcPr>
            <w:tcW w:w="4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Policy fee income</w:t>
            </w:r>
          </w:p>
        </w:tc>
        <w:tc>
          <w:tcPr>
            <w:tcW w:w="1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1,698</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3,101</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2,134</w:t>
            </w:r>
          </w:p>
        </w:tc>
      </w:tr>
      <w:tr>
        <w:trPr/>
        <w:tc>
          <w:tcPr>
            <w:tcW w:w="4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Organic Revenue</w:t>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75,463</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54,120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129,776</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103,348</w:t>
            </w:r>
          </w:p>
        </w:tc>
      </w:tr>
      <w:tr>
        <w:trPr/>
        <w:tc>
          <w:tcPr>
            <w:tcW w:w="4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Prior year Organic Revenue reported</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54,120</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48,378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103,348</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89,969</w:t>
            </w:r>
          </w:p>
        </w:tc>
      </w:tr>
      <w:tr>
        <w:trPr/>
        <w:tc>
          <w:tcPr>
            <w:tcW w:w="4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Commission income at 12-month post acquisitions</w:t>
            </w:r>
          </w:p>
        </w:tc>
        <w:tc>
          <w:tcPr>
            <w:tcW w:w="1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1,524</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1,217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2,133</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2,684</w:t>
            </w:r>
          </w:p>
        </w:tc>
      </w:tr>
      <w:tr>
        <w:trPr/>
        <w:tc>
          <w:tcPr>
            <w:tcW w:w="4149"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4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Disposals</w:t>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(544)</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(1,065)</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Frutiger LT 45 Light;sans-serif" w:hAnsi="Frutiger LT 45 Light;sans-serif"/>
                <w:b w:val="false"/>
                <w:color w:val="000000"/>
                <w:sz w:val="16"/>
              </w:rPr>
              <w:t>Other adjustments</w:t>
            </w:r>
            <w:r>
              <w:rPr>
                <w:rFonts w:ascii="Frutiger LT 45 Light;sans-serif" w:hAnsi="Frutiger LT 45 Light;sans-serif"/>
                <w:b w:val="false"/>
                <w:color w:val="000000"/>
                <w:sz w:val="10"/>
              </w:rPr>
              <w:t>(2)</w:t>
            </w:r>
          </w:p>
        </w:tc>
        <w:tc>
          <w:tcPr>
            <w:tcW w:w="1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(671)</w:t>
            </w:r>
          </w:p>
        </w:tc>
      </w:tr>
      <w:tr>
        <w:trPr/>
        <w:tc>
          <w:tcPr>
            <w:tcW w:w="4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Organic Revenue denominator</w:t>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55,100</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48,924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104,416</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91,982</w:t>
            </w:r>
          </w:p>
        </w:tc>
      </w:tr>
      <w:tr>
        <w:trPr/>
        <w:tc>
          <w:tcPr>
            <w:tcW w:w="4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Organic Revenue</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75,463</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54,120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129,776</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103,348</w:t>
            </w:r>
          </w:p>
        </w:tc>
      </w:tr>
      <w:tr>
        <w:trPr/>
        <w:tc>
          <w:tcPr>
            <w:tcW w:w="4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Organic Revenue denominator</w:t>
            </w:r>
          </w:p>
        </w:tc>
        <w:tc>
          <w:tcPr>
            <w:tcW w:w="1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55,100</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48,924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104,416</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91,982</w:t>
            </w:r>
          </w:p>
        </w:tc>
      </w:tr>
      <w:tr>
        <w:trPr/>
        <w:tc>
          <w:tcPr>
            <w:tcW w:w="4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Organic Revenue Growth</w:t>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20,363</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5,196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25,360</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11,366</w:t>
            </w:r>
          </w:p>
        </w:tc>
      </w:tr>
      <w:tr>
        <w:trPr/>
        <w:tc>
          <w:tcPr>
            <w:tcW w:w="4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Frutiger LT 45 Light;sans-serif" w:hAnsi="Frutiger LT 45 Light;sans-serif"/>
                <w:b w:val="false"/>
                <w:color w:val="000000"/>
                <w:sz w:val="16"/>
              </w:rPr>
              <w:t>Total Revenue Growth Rate</w:t>
            </w:r>
            <w:r>
              <w:rPr>
                <w:rFonts w:ascii="Frutiger LT 45 Light;sans-serif" w:hAnsi="Frutiger LT 45 Light;sans-serif"/>
                <w:b w:val="false"/>
                <w:color w:val="000000"/>
                <w:sz w:val="10"/>
              </w:rPr>
              <w:t>(3)</w:t>
            </w:r>
          </w:p>
        </w:tc>
        <w:tc>
          <w:tcPr>
            <w:tcW w:w="6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45.1 </w:t>
            </w:r>
          </w:p>
        </w:tc>
        <w:tc>
          <w:tcPr>
            <w:tcW w:w="4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13.8 </w:t>
            </w:r>
          </w:p>
        </w:tc>
        <w:tc>
          <w:tcPr>
            <w:tcW w:w="4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40.5 </w:t>
            </w:r>
          </w:p>
        </w:tc>
        <w:tc>
          <w:tcPr>
            <w:tcW w:w="5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15.1 </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r>
      <w:tr>
        <w:trPr/>
        <w:tc>
          <w:tcPr>
            <w:tcW w:w="4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Frutiger LT 45 Light;sans-serif" w:hAnsi="Frutiger LT 45 Light;sans-serif"/>
                <w:b w:val="false"/>
                <w:color w:val="000000"/>
                <w:sz w:val="16"/>
              </w:rPr>
              <w:t>Organic Revenue Growth Rate</w:t>
            </w:r>
            <w:r>
              <w:rPr>
                <w:rFonts w:ascii="Frutiger LT 45 Light;sans-serif" w:hAnsi="Frutiger LT 45 Light;sans-serif"/>
                <w:b w:val="false"/>
                <w:color w:val="000000"/>
                <w:sz w:val="10"/>
              </w:rPr>
              <w:t>(4)</w:t>
            </w:r>
          </w:p>
        </w:tc>
        <w:tc>
          <w:tcPr>
            <w:tcW w:w="6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37.0 </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10.6 </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24.3 </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12.4 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r>
      <w:tr>
        <w:trPr/>
        <w:tc>
          <w:tcPr>
            <w:tcW w:w="41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Frutiger LT 55 Roman;sans-serif" w:hAnsi="Frutiger LT 55 Roman;sans-serif"/>
          <w:b w:val="false"/>
          <w:color w:val="000000"/>
          <w:sz w:val="15"/>
        </w:rPr>
        <w:t>(1)</w:t>
      </w:r>
      <w:r>
        <w:rPr>
          <w:rFonts w:ascii="Frutiger LT 55 Roman;sans-serif" w:hAnsi="Frutiger LT 55 Roman;sans-serif"/>
          <w:b w:val="false"/>
          <w:color w:val="000000"/>
          <w:sz w:val="15"/>
        </w:rPr>
        <w:t>Represents revenues generated from the acquired businesses during the first 12 months following an acquisition.</w:t>
      </w:r>
    </w:p>
    <w:p>
      <w:pPr>
        <w:pStyle w:val="TextBody"/>
        <w:bidi w:val="0"/>
        <w:spacing w:lineRule="auto" w:line="288" w:before="0" w:after="40"/>
        <w:jc w:val="left"/>
        <w:rPr/>
      </w:pPr>
      <w:r>
        <w:rPr>
          <w:rFonts w:ascii="Frutiger LT 55 Roman;sans-serif" w:hAnsi="Frutiger LT 55 Roman;sans-serif"/>
          <w:b w:val="false"/>
          <w:color w:val="000000"/>
          <w:sz w:val="15"/>
        </w:rPr>
        <w:t>(2)</w:t>
      </w:r>
      <w:r>
        <w:rPr>
          <w:rFonts w:ascii="Frutiger LT 55 Roman;sans-serif" w:hAnsi="Frutiger LT 55 Roman;sans-serif"/>
          <w:b w:val="false"/>
          <w:color w:val="000000"/>
          <w:sz w:val="15"/>
        </w:rPr>
        <w:t>Other adjustments reflect immaterial prior-period and comparability items consistent with management’s non-GAAP presentation policy.</w:t>
      </w:r>
    </w:p>
    <w:p>
      <w:pPr>
        <w:pStyle w:val="TextBody"/>
        <w:bidi w:val="0"/>
        <w:spacing w:lineRule="auto" w:line="288" w:before="0" w:after="0"/>
        <w:jc w:val="left"/>
        <w:rPr/>
      </w:pPr>
      <w:r>
        <w:rPr>
          <w:rFonts w:ascii="Frutiger LT 55 Roman;sans-serif" w:hAnsi="Frutiger LT 55 Roman;sans-serif"/>
          <w:b w:val="false"/>
          <w:color w:val="000000"/>
          <w:sz w:val="15"/>
        </w:rPr>
        <w:t>(3)</w:t>
      </w:r>
      <w:r>
        <w:rPr>
          <w:rFonts w:ascii="Frutiger LT 55 Roman;sans-serif" w:hAnsi="Frutiger LT 55 Roman;sans-serif"/>
          <w:b w:val="false"/>
          <w:color w:val="000000"/>
          <w:sz w:val="15"/>
        </w:rPr>
        <w:t>Represents the period-to-period change in total revenues divided by the total revenues in the prior period.</w:t>
      </w:r>
    </w:p>
    <w:p>
      <w:pPr>
        <w:pStyle w:val="TextBody"/>
        <w:bidi w:val="0"/>
        <w:spacing w:lineRule="auto" w:line="288" w:before="0" w:after="160"/>
        <w:jc w:val="left"/>
        <w:rPr/>
      </w:pPr>
      <w:r>
        <w:rPr>
          <w:rFonts w:ascii="Frutiger LT 55 Roman;sans-serif" w:hAnsi="Frutiger LT 55 Roman;sans-serif"/>
          <w:b w:val="false"/>
          <w:color w:val="000000"/>
          <w:sz w:val="15"/>
        </w:rPr>
        <w:t>(4)</w:t>
      </w:r>
      <w:r>
        <w:rPr>
          <w:rFonts w:ascii="Frutiger LT 55 Roman;sans-serif" w:hAnsi="Frutiger LT 55 Roman;sans-serif"/>
          <w:b w:val="false"/>
          <w:color w:val="000000"/>
          <w:sz w:val="15"/>
        </w:rPr>
        <w:t>Represents Organic Revenue Growth divided by the Organic Revenue denominator.</w:t>
      </w:r>
    </w:p>
    <w:p>
      <w:pPr>
        <w:pStyle w:val="TextBody"/>
        <w:bidi w:val="0"/>
        <w:spacing w:lineRule="auto" w:line="288" w:before="0" w:after="160"/>
        <w:jc w:val="left"/>
        <w:rPr>
          <w:rFonts w:ascii="Frutiger LT 45 Light;sans-serif" w:hAnsi="Frutiger LT 45 Light;sans-serif"/>
          <w:b w:val="false"/>
          <w:i/>
          <w:color w:val="000000"/>
          <w:sz w:val="20"/>
        </w:rPr>
      </w:pPr>
      <w:r>
        <w:rPr>
          <w:rFonts w:ascii="Frutiger LT 45 Light;sans-serif" w:hAnsi="Frutiger LT 45 Light;sans-serif"/>
          <w:b w:val="false"/>
          <w:i/>
          <w:color w:val="000000"/>
          <w:sz w:val="20"/>
        </w:rPr>
        <w:t>Comparison of the Three Months Ended June 30, 2026 and 2025</w:t>
      </w:r>
    </w:p>
    <w:p>
      <w:pPr>
        <w:pStyle w:val="TextBody"/>
        <w:bidi w:val="0"/>
        <w:spacing w:lineRule="auto" w:line="288" w:before="0" w:after="160"/>
        <w:jc w:val="left"/>
        <w:rPr/>
      </w:pPr>
      <w:r>
        <w:rPr>
          <w:rFonts w:ascii="Frutiger LT 45 Light;sans-serif" w:hAnsi="Frutiger LT 45 Light;sans-serif"/>
          <w:b w:val="false"/>
          <w:color w:val="000000"/>
          <w:sz w:val="20"/>
        </w:rPr>
        <w:t>Revenue growth rate, representing the year-over-year change in total revenues, was</w:t>
      </w:r>
      <w:r>
        <w:rPr>
          <w:color w:val="000000"/>
          <w:shd w:fill="FFFFFF" w:val="clear"/>
        </w:rPr>
        <w:t> </w:t>
      </w:r>
      <w:r>
        <w:rPr>
          <w:rFonts w:ascii="Frutiger LT 45 Light;sans-serif" w:hAnsi="Frutiger LT 45 Light;sans-serif"/>
          <w:b w:val="false"/>
          <w:color w:val="000000"/>
          <w:sz w:val="20"/>
        </w:rPr>
        <w:t>45.1% for the three months ended June 30, 2026 compared to the same period in 2025 and 13.8% for the three months ended June 30, 2025 compared to the same period in 2024. Revenue growth for the periods reflected the growth in our Books of Business and</w:t>
      </w:r>
      <w:r>
        <w:rPr>
          <w:color w:val="000000"/>
          <w:shd w:fill="FFFFFF" w:val="clear"/>
        </w:rPr>
        <w:t xml:space="preserve"> </w:t>
      </w:r>
      <w:r>
        <w:rPr>
          <w:rFonts w:ascii="Frutiger LT 45 Light;sans-serif" w:hAnsi="Frutiger LT 45 Light;sans-serif"/>
          <w:b w:val="false"/>
          <w:color w:val="000000"/>
          <w:sz w:val="20"/>
          <w:shd w:fill="FFFFFF" w:val="clear"/>
        </w:rPr>
        <w:t>the mix of the new and renewal businesses. Re</w:t>
      </w:r>
      <w:r>
        <w:rPr>
          <w:rFonts w:ascii="Frutiger LT 45 Light;sans-serif" w:hAnsi="Frutiger LT 45 Light;sans-serif"/>
          <w:b w:val="false"/>
          <w:color w:val="000000"/>
          <w:sz w:val="20"/>
        </w:rPr>
        <w:t>venue growth for the three months ended June 30, 2026 compared to the same period in 2025 included the continued growth of commission and fee income during the period. See “Consolidated Results of Operations” for additional discussions regarding the changes in our revenues.</w:t>
      </w:r>
    </w:p>
    <w:p>
      <w:pPr>
        <w:pStyle w:val="TextBody"/>
        <w:bidi w:val="0"/>
        <w:spacing w:lineRule="auto" w:line="288" w:before="0" w:after="160"/>
        <w:jc w:val="left"/>
        <w:rPr/>
      </w:pPr>
      <w:r>
        <w:rPr>
          <w:rFonts w:ascii="Frutiger LT 45 Light;sans-serif" w:hAnsi="Frutiger LT 45 Light;sans-serif"/>
          <w:b w:val="false"/>
          <w:color w:val="000000"/>
          <w:sz w:val="20"/>
        </w:rPr>
        <w:t>Organic Revenue Growth Rate was</w:t>
      </w:r>
      <w:r>
        <w:rPr>
          <w:color w:val="000000"/>
          <w:shd w:fill="FFFFFF" w:val="clear"/>
        </w:rPr>
        <w:t> </w:t>
      </w:r>
      <w:r>
        <w:rPr>
          <w:rFonts w:ascii="Frutiger LT 45 Light;sans-serif" w:hAnsi="Frutiger LT 45 Light;sans-serif"/>
          <w:b w:val="false"/>
          <w:color w:val="000000"/>
          <w:sz w:val="20"/>
        </w:rPr>
        <w:t>37.0%</w:t>
      </w:r>
      <w:r>
        <w:rPr>
          <w:color w:val="000000"/>
          <w:shd w:fill="FFFFFF" w:val="clear"/>
        </w:rPr>
        <w:t xml:space="preserve"> </w:t>
      </w:r>
      <w:r>
        <w:rPr>
          <w:rFonts w:ascii="Frutiger LT 45 Light;sans-serif" w:hAnsi="Frutiger LT 45 Light;sans-serif"/>
          <w:b w:val="false"/>
          <w:color w:val="000000"/>
          <w:sz w:val="20"/>
          <w:shd w:fill="FFFFFF" w:val="clear"/>
        </w:rPr>
        <w:t>f</w:t>
      </w:r>
      <w:r>
        <w:rPr>
          <w:rFonts w:ascii="Frutiger LT 45 Light;sans-serif" w:hAnsi="Frutiger LT 45 Light;sans-serif"/>
          <w:b w:val="false"/>
          <w:color w:val="000000"/>
          <w:sz w:val="20"/>
        </w:rPr>
        <w:t xml:space="preserve">or the three months ended June 30, 2026 compared to the same </w:t>
      </w:r>
      <w:r>
        <w:rPr>
          <w:rFonts w:ascii="Frutiger LT 45 Light;sans-serif" w:hAnsi="Frutiger LT 45 Light;sans-serif"/>
          <w:b w:val="false"/>
          <w:color w:val="000000"/>
          <w:sz w:val="20"/>
          <w:shd w:fill="FFFFFF" w:val="clear"/>
        </w:rPr>
        <w:t xml:space="preserve">period in </w:t>
      </w:r>
      <w:r>
        <w:rPr>
          <w:rFonts w:ascii="Frutiger LT 45 Light;sans-serif" w:hAnsi="Frutiger LT 45 Light;sans-serif"/>
          <w:b w:val="false"/>
          <w:color w:val="000000"/>
          <w:sz w:val="20"/>
        </w:rPr>
        <w:t>2025</w:t>
      </w:r>
      <w:r>
        <w:rPr>
          <w:color w:val="000000"/>
          <w:shd w:fill="FFFFFF" w:val="clear"/>
        </w:rPr>
        <w:t xml:space="preserve"> </w:t>
      </w:r>
      <w:r>
        <w:rPr>
          <w:rFonts w:ascii="Frutiger LT 45 Light;sans-serif" w:hAnsi="Frutiger LT 45 Light;sans-serif"/>
          <w:b w:val="false"/>
          <w:color w:val="000000"/>
          <w:sz w:val="20"/>
          <w:shd w:fill="FFFFFF" w:val="clear"/>
        </w:rPr>
        <w:t xml:space="preserve">and </w:t>
      </w:r>
      <w:r>
        <w:rPr>
          <w:rFonts w:ascii="Frutiger LT 45 Light;sans-serif" w:hAnsi="Frutiger LT 45 Light;sans-serif"/>
          <w:b w:val="false"/>
          <w:color w:val="000000"/>
          <w:sz w:val="20"/>
        </w:rPr>
        <w:t>10.6%</w:t>
      </w:r>
      <w:r>
        <w:rPr>
          <w:color w:val="000000"/>
          <w:shd w:fill="FFFFFF" w:val="clear"/>
        </w:rPr>
        <w:t xml:space="preserve"> </w:t>
      </w:r>
      <w:r>
        <w:rPr>
          <w:rFonts w:ascii="Frutiger LT 45 Light;sans-serif" w:hAnsi="Frutiger LT 45 Light;sans-serif"/>
          <w:b w:val="false"/>
          <w:color w:val="000000"/>
          <w:sz w:val="20"/>
          <w:shd w:fill="FFFFFF" w:val="clear"/>
        </w:rPr>
        <w:t xml:space="preserve">for the three months ended </w:t>
      </w:r>
      <w:r>
        <w:rPr>
          <w:rFonts w:ascii="Frutiger LT 45 Light;sans-serif" w:hAnsi="Frutiger LT 45 Light;sans-serif"/>
          <w:b w:val="false"/>
          <w:color w:val="000000"/>
          <w:sz w:val="20"/>
        </w:rPr>
        <w:t>June 30, 2025</w:t>
      </w:r>
      <w:r>
        <w:rPr>
          <w:color w:val="000000"/>
          <w:shd w:fill="FFFFFF" w:val="clear"/>
        </w:rPr>
        <w:t xml:space="preserve"> </w:t>
      </w:r>
      <w:r>
        <w:rPr>
          <w:rFonts w:ascii="Frutiger LT 45 Light;sans-serif" w:hAnsi="Frutiger LT 45 Light;sans-serif"/>
          <w:b w:val="false"/>
          <w:color w:val="000000"/>
          <w:sz w:val="20"/>
          <w:shd w:fill="FFFFFF" w:val="clear"/>
        </w:rPr>
        <w:t xml:space="preserve">compared to the same period in </w:t>
      </w:r>
      <w:r>
        <w:rPr>
          <w:rFonts w:ascii="Frutiger LT 45 Light;sans-serif" w:hAnsi="Frutiger LT 45 Light;sans-serif"/>
          <w:b w:val="false"/>
          <w:color w:val="000000"/>
          <w:sz w:val="20"/>
        </w:rPr>
        <w:t>2024</w:t>
      </w:r>
      <w:r>
        <w:rPr>
          <w:rFonts w:ascii="Frutiger LT 45 Light;sans-serif" w:hAnsi="Frutiger LT 45 Light;sans-serif"/>
          <w:b w:val="false"/>
          <w:color w:val="000000"/>
          <w:sz w:val="20"/>
          <w:shd w:fill="FFFFFF" w:val="clear"/>
        </w:rPr>
        <w:t xml:space="preserve">. </w:t>
      </w:r>
      <w:r>
        <w:rPr>
          <w:rFonts w:ascii="Frutiger LT 45 Light;sans-serif" w:hAnsi="Frutiger LT 45 Light;sans-serif"/>
          <w:b w:val="false"/>
          <w:color w:val="000000"/>
          <w:sz w:val="20"/>
        </w:rPr>
        <w:t>Organic Revenue Growth for both periods reflects ongoing, but normalizing rate increases being implemented by carriers, the underlying growth of our business, and healthy economic growth and an increase in commission income in our MGA offering. See “Consolidated Results of Operations—Commission Income” for additional discussions regarding the changes in our commission income.</w:t>
      </w:r>
    </w:p>
    <w:p>
      <w:pPr>
        <w:pStyle w:val="TextBody"/>
        <w:bidi w:val="0"/>
        <w:spacing w:lineRule="auto" w:line="288" w:before="0" w:after="160"/>
        <w:jc w:val="left"/>
        <w:rPr>
          <w:rFonts w:ascii="Frutiger LT 45 Light;sans-serif" w:hAnsi="Frutiger LT 45 Light;sans-serif"/>
          <w:b w:val="false"/>
          <w:i/>
          <w:color w:val="000000"/>
          <w:sz w:val="20"/>
        </w:rPr>
      </w:pPr>
      <w:r>
        <w:rPr>
          <w:rFonts w:ascii="Frutiger LT 45 Light;sans-serif" w:hAnsi="Frutiger LT 45 Light;sans-serif"/>
          <w:b w:val="false"/>
          <w:i/>
          <w:color w:val="000000"/>
          <w:sz w:val="20"/>
        </w:rPr>
        <w:t>Comparison of the Six Months Ended June 30, 2026 and 2025</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Revenue growth rate, representing the year-over-year change in total revenues, was 40.5% for the six months ended June 30, 2026 compared to the same period in 2025 and 15.1% for the six months ended June 30, 2025 compared to the same period in 2024. Revenue growth for the periods reflected the growth in our Books of Business and the mix of the new and renewal businesses. Revenue growth for the six months ended June 30, 2025 compared to the same period in 2024 included the continued growth of commission and fee income during the period. See “Consolidated Results of Operations” for additional discussions regarding the changes in our revenues.</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 xml:space="preserve">Organic Revenue Growth Rate was 24.3% for the six months ended June 30, 2026 compared to the same period in 2025 and 12.4% for the six months ended June 30, 2025 compared to the same period in 2024. Organic Revenue Growth for both periods reflects ongoing, but normalizing, rate increases being implemented by carriers, the underlying growth of our business, and healthy economic growth and an increase in commission income in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7955"/>
                <wp:effectExtent l="0" t="0" r="0" b="0"/>
                <wp:wrapNone/>
                <wp:docPr id="38" name="Frame3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26</w:t>
                      </w:r>
                    </w:p>
                  </w:txbxContent>
                </v:textbox>
                <w10:wrap type="none"/>
              </v:rect>
            </w:pict>
          </mc:Fallback>
        </mc:AlternateContent>
      </w:r>
    </w:p>
    <w:p>
      <w:pPr>
        <w:pStyle w:val="TextBody"/>
        <w:bidi w:val="0"/>
        <w:spacing w:lineRule="auto" w:line="288" w:before="0" w:after="160"/>
        <w:jc w:val="left"/>
        <w:rPr/>
      </w:pPr>
      <w:hyperlink w:anchor="i54bb4eec0dab4063b7a5a162c0b6d974_7">
        <w:r>
          <w:rPr>
            <w:rStyle w:val="InternetLink"/>
          </w:rPr>
          <w:t xml:space="preserve">Table </w:t>
        </w:r>
      </w:hyperlink>
      <w:hyperlink w:anchor="i54bb4eec0dab4063b7a5a162c0b6d974_7">
        <w:r>
          <w:rPr>
            <w:rStyle w:val="InternetLink"/>
          </w:rPr>
          <w:t>of</w:t>
        </w:r>
      </w:hyperlink>
      <w:hyperlink w:anchor="i54bb4eec0dab4063b7a5a162c0b6d974_7">
        <w:r>
          <w:rPr>
            <w:rStyle w:val="InternetLink"/>
          </w:rPr>
          <w:t xml:space="preserve"> Contents</w:t>
        </w:r>
      </w:hyperlink>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MGA offering. See “Consolidated Results of Operations—Commission Income” for additional discussions regarding the changes in our commission income.</w:t>
      </w:r>
    </w:p>
    <w:p>
      <w:pPr>
        <w:pStyle w:val="TextBody"/>
        <w:bidi w:val="0"/>
        <w:spacing w:lineRule="auto" w:line="288" w:before="0" w:after="160"/>
        <w:jc w:val="left"/>
        <w:rPr/>
      </w:pPr>
      <w:r>
        <w:rPr>
          <w:rFonts w:ascii="Frutiger LT 45 Light;sans-serif" w:hAnsi="Frutiger LT 45 Light;sans-serif"/>
          <w:b/>
          <w:i/>
          <w:color w:val="000000"/>
          <w:sz w:val="20"/>
        </w:rPr>
        <w:t xml:space="preserve">Adjusted Net Income. </w:t>
      </w:r>
      <w:r>
        <w:rPr>
          <w:rFonts w:ascii="Frutiger LT 45 Light;sans-serif" w:hAnsi="Frutiger LT 45 Light;sans-serif"/>
          <w:b w:val="false"/>
          <w:color w:val="000000"/>
          <w:sz w:val="20"/>
        </w:rPr>
        <w:t>Adjusted Net Income is a supplemental measure of our performance and is defined as Net Income (the most directly comparable GAAP measure) before amortization, non-recurring or non-operating income and expenses, including equity-based compensation, adjusted to assume a single class of stock (Class A) and assuming noncontrolling interests do not exist while excluding the impact of the sale of non-current assets. We believe Adjusted Net Income is a useful measure because it adjusts for the after-tax impact of significant one-time, non-recurring items and eliminates the impact of any transactions that do not directly affect what management considers to be our ongoing operating performance in the period. These adjustments generally eliminate the effects of certain items that may vary from company-to-company for reasons unrelated to overall operating performance.</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Beginning in the year ended December 31, 2025, we updated our definition of Adjusted Net Income to exclude the impact of the sale of non-current assets. The impact of this change on our Adjusted Net Income for the year ended December 31, 2025, as well as on previously reported periods, was not material. As a result, prior</w:t>
        <w:noBreakHyphen/>
        <w:t xml:space="preserve">period amounts have not been recast. We believe this minor refinement to our definition provides improved alignment with how management evaluates operating performance and enhances the measure’s usefulness for investors while maintaining comparability with prior periods. </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 xml:space="preserve">There were no changes to the income tax treatment within the Adjusted Net Income calculation during the three months ended June 30, 2026. </w:t>
      </w:r>
    </w:p>
    <w:p>
      <w:pPr>
        <w:pStyle w:val="TextBody"/>
        <w:bidi w:val="0"/>
        <w:spacing w:lineRule="auto" w:line="288" w:before="0" w:after="160"/>
        <w:jc w:val="left"/>
        <w:rPr/>
      </w:pPr>
      <w:r>
        <w:rPr>
          <w:rFonts w:ascii="Frutiger LT 45 Light;sans-serif" w:hAnsi="Frutiger LT 45 Light;sans-serif"/>
          <w:b/>
          <w:i/>
          <w:color w:val="000000"/>
          <w:sz w:val="20"/>
        </w:rPr>
        <w:t>Adjusted Net Income Margin</w:t>
      </w:r>
      <w:r>
        <w:rPr>
          <w:rFonts w:ascii="Frutiger LT 45 Light;sans-serif" w:hAnsi="Frutiger LT 45 Light;sans-serif"/>
          <w:b w:val="false"/>
          <w:color w:val="000000"/>
          <w:sz w:val="20"/>
        </w:rPr>
        <w:t>. Adjusted Net Income Margin is Adjusted Net Income divided by total revenues. We believe that Adjusted Net Income Margin is a useful measurement of operating profitability for the same reasons we find Adjusted Net Income useful and in addition, it also provides a period-to-period comparison of our after-tax operating performance.</w:t>
      </w:r>
    </w:p>
    <w:p>
      <w:pPr>
        <w:pStyle w:val="TextBody"/>
        <w:bidi w:val="0"/>
        <w:spacing w:lineRule="auto" w:line="288" w:before="0" w:after="160"/>
        <w:jc w:val="left"/>
        <w:rPr/>
      </w:pPr>
      <w:r>
        <w:rPr>
          <w:rFonts w:ascii="Frutiger LT 45 Light;sans-serif" w:hAnsi="Frutiger LT 45 Light;sans-serif"/>
          <w:b w:val="false"/>
          <w:color w:val="000000"/>
          <w:sz w:val="20"/>
        </w:rPr>
        <w:t>A reconciliation of Adjusted Net Income and Adjuste</w:t>
      </w:r>
      <w:r>
        <w:rPr>
          <w:rFonts w:ascii="Frutiger LT 45 Light;sans-serif" w:hAnsi="Frutiger LT 45 Light;sans-serif"/>
          <w:b w:val="false"/>
          <w:color w:val="000000"/>
          <w:sz w:val="20"/>
          <w:shd w:fill="FFFFFF" w:val="clear"/>
        </w:rPr>
        <w:t>d Net Income Margin to net income and net income margin, the most directly comparable GAAP measures, for each of the periods indicated</w:t>
      </w:r>
      <w:r>
        <w:rPr>
          <w:color w:val="000000"/>
        </w:rPr>
        <w:t xml:space="preserve"> </w:t>
      </w:r>
      <w:r>
        <w:rPr>
          <w:rFonts w:ascii="Frutiger LT 45 Light;sans-serif" w:hAnsi="Frutiger LT 45 Light;sans-serif"/>
          <w:b w:val="false"/>
          <w:color w:val="000000"/>
          <w:sz w:val="20"/>
        </w:rPr>
        <w:t xml:space="preserve">is as follows (in thousands): </w:t>
      </w:r>
    </w:p>
    <w:tbl>
      <w:tblPr>
        <w:tblW w:w="9602" w:type="dxa"/>
        <w:jc w:val="left"/>
        <w:tblInd w:w="0" w:type="dxa"/>
        <w:tblLayout w:type="fixed"/>
        <w:tblCellMar>
          <w:top w:w="28" w:type="dxa"/>
          <w:left w:w="28" w:type="dxa"/>
          <w:bottom w:w="28" w:type="dxa"/>
          <w:right w:w="28" w:type="dxa"/>
        </w:tblCellMar>
      </w:tblPr>
      <w:tblGrid>
        <w:gridCol w:w="1265"/>
        <w:gridCol w:w="1113"/>
        <w:gridCol w:w="1116"/>
        <w:gridCol w:w="408"/>
        <w:gridCol w:w="211"/>
        <w:gridCol w:w="496"/>
        <w:gridCol w:w="211"/>
        <w:gridCol w:w="211"/>
        <w:gridCol w:w="211"/>
        <w:gridCol w:w="408"/>
        <w:gridCol w:w="211"/>
        <w:gridCol w:w="496"/>
        <w:gridCol w:w="109"/>
        <w:gridCol w:w="109"/>
        <w:gridCol w:w="109"/>
        <w:gridCol w:w="369"/>
        <w:gridCol w:w="233"/>
        <w:gridCol w:w="548"/>
        <w:gridCol w:w="191"/>
        <w:gridCol w:w="191"/>
        <w:gridCol w:w="191"/>
        <w:gridCol w:w="369"/>
        <w:gridCol w:w="219"/>
        <w:gridCol w:w="607"/>
      </w:tblGrid>
      <w:tr>
        <w:trPr/>
        <w:tc>
          <w:tcPr>
            <w:tcW w:w="1265"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3"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Three Months Ended June 30,</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8"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Six Months Ended June 30,</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2026</w:t>
            </w:r>
          </w:p>
        </w:tc>
        <w:tc>
          <w:tcPr>
            <w:tcW w:w="6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2026</w:t>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2025</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Total Revenues</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87,511</w:t>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60,308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160,352</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114,131</w:t>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Net Income</w:t>
            </w:r>
          </w:p>
        </w:tc>
        <w:tc>
          <w:tcPr>
            <w:tcW w:w="4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17,251</w:t>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9,000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30,330</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15,853</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Income tax expense</w:t>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1,031</w:t>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2,164</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1,276</w:t>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Acquisition-related expenses</w:t>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30</w:t>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155</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52</w:t>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Equity-based compensation</w:t>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1,166</w:t>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1,515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2,022</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2,719</w:t>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Frutiger LT 45 Light;sans-serif" w:hAnsi="Frutiger LT 45 Light;sans-serif"/>
                <w:b w:val="false"/>
                <w:color w:val="000000"/>
                <w:sz w:val="16"/>
              </w:rPr>
              <w:t>Other non-recurring items</w:t>
            </w:r>
            <w:r>
              <w:rPr>
                <w:rFonts w:ascii="Frutiger LT 45 Light;sans-serif" w:hAnsi="Frutiger LT 45 Light;sans-serif"/>
                <w:b w:val="false"/>
                <w:color w:val="000000"/>
                <w:sz w:val="10"/>
              </w:rPr>
              <w:t>(1)</w:t>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466</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Frutiger LT 45 Light;sans-serif" w:hAnsi="Frutiger LT 45 Light;sans-serif"/>
                <w:b w:val="false"/>
                <w:color w:val="000000"/>
                <w:sz w:val="16"/>
              </w:rPr>
              <w:t>Gain on sale of non-current assets, net</w:t>
            </w:r>
            <w:r>
              <w:rPr>
                <w:rFonts w:ascii="Frutiger LT 45 Light;sans-serif" w:hAnsi="Frutiger LT 45 Light;sans-serif"/>
                <w:b w:val="false"/>
                <w:color w:val="000000"/>
                <w:sz w:val="10"/>
              </w:rPr>
              <w:t>(2)</w:t>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w:t>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(701)</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Amortization expense</w:t>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6,909</w:t>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3,762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12,937</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6,971</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Adjusted income before income taxes</w:t>
            </w:r>
          </w:p>
        </w:tc>
        <w:tc>
          <w:tcPr>
            <w:tcW w:w="11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26,388</w:t>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14,926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47,373</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26,881</w:t>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Adjusted income tax expense</w:t>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(6,099)</w:t>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(3,407)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(10,934)</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(6,135)</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Adjusted Net Income</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20,289</w:t>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11,519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36,439</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20,746</w:t>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Net Income Margin</w:t>
            </w:r>
          </w:p>
        </w:tc>
        <w:tc>
          <w:tcPr>
            <w:tcW w:w="61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19.7 </w:t>
            </w:r>
          </w:p>
        </w:tc>
        <w:tc>
          <w:tcPr>
            <w:tcW w:w="4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14.9 </w:t>
            </w:r>
          </w:p>
        </w:tc>
        <w:tc>
          <w:tcPr>
            <w:tcW w:w="4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18.9 </w:t>
            </w:r>
          </w:p>
        </w:tc>
        <w:tc>
          <w:tcPr>
            <w:tcW w:w="54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13.9 </w:t>
            </w:r>
          </w:p>
        </w:tc>
        <w:tc>
          <w:tcPr>
            <w:tcW w:w="60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Adjusted Net Income Margin</w:t>
            </w:r>
          </w:p>
        </w:tc>
        <w:tc>
          <w:tcPr>
            <w:tcW w:w="6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23.2 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19.1 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22.7 </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18.2 </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r>
      <w:tr>
        <w:trPr/>
        <w:tc>
          <w:tcPr>
            <w:tcW w:w="349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pPr>
      <w:r>
        <w:rPr>
          <w:rFonts w:ascii="Frutiger LT 55 Roman;sans-serif" w:hAnsi="Frutiger LT 55 Roman;sans-serif"/>
          <w:b w:val="false"/>
          <w:color w:val="000000"/>
          <w:sz w:val="15"/>
        </w:rPr>
        <w:t>(1)</w:t>
      </w:r>
      <w:r>
        <w:rPr>
          <w:rFonts w:ascii="Frutiger LT 55 Roman;sans-serif" w:hAnsi="Frutiger LT 55 Roman;sans-serif"/>
          <w:b w:val="false"/>
          <w:color w:val="000000"/>
          <w:sz w:val="15"/>
          <w:shd w:fill="FFFFFF" w:val="clear"/>
        </w:rPr>
        <w:t xml:space="preserve">Non-recurring expense for the six months ended June 30, 2026 relates to the write-off of a commission receivable resulting from a contractual dispute with a carrier that was resolved through commercial concession. </w:t>
      </w:r>
    </w:p>
    <w:p>
      <w:pPr>
        <w:pStyle w:val="TextBody"/>
        <w:bidi w:val="0"/>
        <w:spacing w:lineRule="auto" w:line="288" w:before="0" w:after="60"/>
        <w:jc w:val="left"/>
        <w:rPr/>
      </w:pPr>
      <w:r>
        <w:rPr>
          <w:rFonts w:ascii="Frutiger LT 55 Roman;sans-serif" w:hAnsi="Frutiger LT 55 Roman;sans-serif"/>
          <w:b w:val="false"/>
          <w:color w:val="000000"/>
          <w:sz w:val="15"/>
        </w:rPr>
        <w:t>(2)</w:t>
      </w:r>
      <w:r>
        <w:rPr>
          <w:rFonts w:ascii="Frutiger LT 55 Roman;sans-serif" w:hAnsi="Frutiger LT 55 Roman;sans-serif"/>
          <w:b w:val="false"/>
          <w:color w:val="000000"/>
          <w:sz w:val="15"/>
          <w:shd w:fill="FFFFFF" w:val="clear"/>
        </w:rPr>
        <w:t>During first and second quarters of 2025, a gain related to the sale of non-current assets was not excluded from Adjusted Net Income consistent with the Company’s stated definition. The presentation has been adjusted in the fourth quarter and full-year 2025 results to conform to the Company’s definition of Adjusted Net Income. This adjustment impacts only non-GAAP measures and had no effect on previously reported GAAP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7955"/>
                <wp:effectExtent l="0" t="0" r="0" b="0"/>
                <wp:wrapNone/>
                <wp:docPr id="39" name="Frame3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27</w:t>
                      </w:r>
                    </w:p>
                  </w:txbxContent>
                </v:textbox>
                <w10:wrap type="none"/>
              </v:rect>
            </w:pict>
          </mc:Fallback>
        </mc:AlternateContent>
      </w:r>
    </w:p>
    <w:p>
      <w:pPr>
        <w:pStyle w:val="TextBody"/>
        <w:bidi w:val="0"/>
        <w:spacing w:lineRule="auto" w:line="288" w:before="0" w:after="160"/>
        <w:jc w:val="left"/>
        <w:rPr/>
      </w:pPr>
      <w:hyperlink w:anchor="i54bb4eec0dab4063b7a5a162c0b6d974_7">
        <w:r>
          <w:rPr>
            <w:rStyle w:val="InternetLink"/>
          </w:rPr>
          <w:t xml:space="preserve">Table </w:t>
        </w:r>
      </w:hyperlink>
      <w:hyperlink w:anchor="i54bb4eec0dab4063b7a5a162c0b6d974_7">
        <w:r>
          <w:rPr>
            <w:rStyle w:val="InternetLink"/>
          </w:rPr>
          <w:t>of</w:t>
        </w:r>
      </w:hyperlink>
      <w:hyperlink w:anchor="i54bb4eec0dab4063b7a5a162c0b6d974_7">
        <w:r>
          <w:rPr>
            <w:rStyle w:val="InternetLink"/>
          </w:rPr>
          <w:t xml:space="preserve"> Contents</w:t>
        </w:r>
      </w:hyperlink>
    </w:p>
    <w:p>
      <w:pPr>
        <w:pStyle w:val="TextBody"/>
        <w:bidi w:val="0"/>
        <w:spacing w:lineRule="auto" w:line="288" w:before="0" w:after="160"/>
        <w:jc w:val="left"/>
        <w:rPr/>
      </w:pPr>
      <w:r>
        <w:rPr>
          <w:rFonts w:ascii="Frutiger LT 45 Light;sans-serif" w:hAnsi="Frutiger LT 45 Light;sans-serif"/>
          <w:b/>
          <w:i/>
          <w:color w:val="000000"/>
          <w:sz w:val="20"/>
        </w:rPr>
        <w:t>Adjusted Diluted Earnings Per Share.</w:t>
      </w:r>
      <w:r>
        <w:rPr>
          <w:color w:val="000000"/>
        </w:rPr>
        <w:t xml:space="preserve"> </w:t>
      </w:r>
      <w:r>
        <w:rPr>
          <w:rFonts w:ascii="Frutiger LT 45 Light;sans-serif" w:hAnsi="Frutiger LT 45 Light;sans-serif"/>
          <w:b w:val="false"/>
          <w:color w:val="000000"/>
          <w:sz w:val="20"/>
        </w:rPr>
        <w:t>Adjusted Diluted Earnings Per Share is Adjusted Net Income divided by diluted shares outstanding after adjusting for the effect of (i) the exchange of 100% of the outstanding Class B Common Stock and Class C Common Stock (together with the related LLC Units) into shares of Class A Common Stock and (ii) the vesting of 100% of the unvested equity awards and exchange into shares of Class A Common Stock. This measure does not deduct earnings related to the noncontrolling interests in TWFG Holding for the period of time prior to July 19, 2024 when we did not own 100% of the business. The most directly comparable GAAP financial metric is diluted earnings per share. We believe Adjusted Diluted Earnings Per Share may be useful to an investor in evaluating our operating performance and efficiency because this measure is widely used by investors to measure a company’s operating performance without regard to items excluded from the calculation of such measure, which can vary substantially from company-to-company depending upon acquisition activity and capital structure. This measure also eliminates the impact of expenses that do not relate to core business performance, among other factors.</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 xml:space="preserve">Prior to the IPO and Reorganization Transactions, TWFG Holding’s equity structure included common units. The Company considered the calculation of earnings per unit for periods prior to the IPO and determined that such presentation would not provide meaningful information to the users of these Condensed Consolidated Financial Statements. Therefore, earnings per share information for the three and six months ended June 30, 2026 has been calculated solely for the post-IPO period. </w:t>
      </w:r>
    </w:p>
    <w:p>
      <w:pPr>
        <w:pStyle w:val="TextBody"/>
        <w:bidi w:val="0"/>
        <w:spacing w:lineRule="auto" w:line="288" w:before="0" w:after="160"/>
        <w:jc w:val="left"/>
        <w:rPr>
          <w:rFonts w:ascii="Frutiger LT 45 Light;sans-serif" w:hAnsi="Frutiger LT 45 Light;sans-serif"/>
          <w:b w:val="false"/>
          <w:color w:val="000000"/>
          <w:sz w:val="20"/>
          <w:shd w:fill="FFFFFF" w:val="clear"/>
        </w:rPr>
      </w:pPr>
      <w:r>
        <w:rPr>
          <w:rFonts w:ascii="Frutiger LT 45 Light;sans-serif" w:hAnsi="Frutiger LT 45 Light;sans-serif"/>
          <w:b w:val="false"/>
          <w:color w:val="000000"/>
          <w:sz w:val="20"/>
          <w:shd w:fill="FFFFFF" w:val="clear"/>
        </w:rPr>
        <w:t>A reconciliation of Adjusted Diluted Earnings Per Share to diluted earnings per share, the most directly comparable GAAP measure, for each of the periods indicated is as follows:</w:t>
      </w:r>
    </w:p>
    <w:tbl>
      <w:tblPr>
        <w:tblW w:w="10205" w:type="dxa"/>
        <w:jc w:val="left"/>
        <w:tblInd w:w="0" w:type="dxa"/>
        <w:tblLayout w:type="fixed"/>
        <w:tblCellMar>
          <w:top w:w="28" w:type="dxa"/>
          <w:left w:w="28" w:type="dxa"/>
          <w:bottom w:w="28" w:type="dxa"/>
          <w:right w:w="28" w:type="dxa"/>
        </w:tblCellMar>
      </w:tblPr>
      <w:tblGrid>
        <w:gridCol w:w="1385"/>
        <w:gridCol w:w="1106"/>
        <w:gridCol w:w="1113"/>
        <w:gridCol w:w="345"/>
        <w:gridCol w:w="901"/>
        <w:gridCol w:w="127"/>
        <w:gridCol w:w="127"/>
        <w:gridCol w:w="127"/>
        <w:gridCol w:w="127"/>
        <w:gridCol w:w="345"/>
        <w:gridCol w:w="901"/>
        <w:gridCol w:w="127"/>
        <w:gridCol w:w="109"/>
        <w:gridCol w:w="109"/>
        <w:gridCol w:w="109"/>
        <w:gridCol w:w="345"/>
        <w:gridCol w:w="901"/>
        <w:gridCol w:w="120"/>
        <w:gridCol w:w="120"/>
        <w:gridCol w:w="120"/>
        <w:gridCol w:w="120"/>
        <w:gridCol w:w="345"/>
        <w:gridCol w:w="901"/>
        <w:gridCol w:w="175"/>
      </w:tblGrid>
      <w:tr>
        <w:trPr/>
        <w:tc>
          <w:tcPr>
            <w:tcW w:w="1385"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604"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Three Months Ended June 30,</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Six Months Ended June 30,</w:t>
            </w:r>
          </w:p>
        </w:tc>
      </w:tr>
      <w:tr>
        <w:trPr/>
        <w:tc>
          <w:tcPr>
            <w:tcW w:w="3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2025</w:t>
            </w:r>
          </w:p>
        </w:tc>
      </w:tr>
      <w:tr>
        <w:trPr/>
        <w:tc>
          <w:tcPr>
            <w:tcW w:w="3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6"/>
              </w:rPr>
            </w:pPr>
            <w:r>
              <w:rPr>
                <w:rFonts w:ascii="Frutiger LT 45 Light;sans-serif" w:hAnsi="Frutiger LT 45 Light;sans-serif"/>
                <w:b/>
                <w:color w:val="000000"/>
                <w:sz w:val="16"/>
              </w:rPr>
              <w:t>Earnings per share of common stock – diluted</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6"/>
              </w:rPr>
            </w:pPr>
            <w:r>
              <w:rPr>
                <w:rFonts w:ascii="Frutiger LT 45 Light;sans-serif" w:hAnsi="Frutiger LT 45 Light;sans-serif"/>
                <w:b/>
                <w:color w:val="000000"/>
                <w:sz w:val="16"/>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Frutiger LT 45 Light;sans-serif" w:hAnsi="Frutiger LT 45 Light;sans-serif"/>
                <w:b/>
                <w:color w:val="000000"/>
                <w:sz w:val="16"/>
              </w:rPr>
              <w:t>0.18</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6"/>
              </w:rPr>
            </w:pPr>
            <w:r>
              <w:rPr>
                <w:rFonts w:ascii="Frutiger LT 45 Light;sans-serif" w:hAnsi="Frutiger LT 45 Light;sans-serif"/>
                <w:b/>
                <w:color w:val="000000"/>
                <w:sz w:val="16"/>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Frutiger LT 45 Light;sans-serif" w:hAnsi="Frutiger LT 45 Light;sans-serif"/>
                <w:b/>
                <w:color w:val="000000"/>
                <w:sz w:val="16"/>
              </w:rPr>
              <w:t>0.13</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6"/>
              </w:rPr>
            </w:pPr>
            <w:r>
              <w:rPr>
                <w:rFonts w:ascii="Frutiger LT 45 Light;sans-serif" w:hAnsi="Frutiger LT 45 Light;sans-serif"/>
                <w:b/>
                <w:color w:val="000000"/>
                <w:sz w:val="16"/>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Frutiger LT 45 Light;sans-serif" w:hAnsi="Frutiger LT 45 Light;sans-serif"/>
                <w:b/>
                <w:color w:val="000000"/>
                <w:sz w:val="16"/>
              </w:rPr>
              <w:t>0.29</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6"/>
              </w:rPr>
            </w:pPr>
            <w:r>
              <w:rPr>
                <w:rFonts w:ascii="Frutiger LT 45 Light;sans-serif" w:hAnsi="Frutiger LT 45 Light;sans-serif"/>
                <w:b/>
                <w:color w:val="000000"/>
                <w:sz w:val="16"/>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Frutiger LT 45 Light;sans-serif" w:hAnsi="Frutiger LT 45 Light;sans-serif"/>
                <w:b/>
                <w:color w:val="000000"/>
                <w:sz w:val="16"/>
              </w:rPr>
              <w:t>0.22</w:t>
            </w: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Frutiger LT 45 Light;sans-serif" w:hAnsi="Frutiger LT 45 Light;sans-serif"/>
                <w:b w:val="false"/>
                <w:color w:val="000000"/>
                <w:sz w:val="16"/>
              </w:rPr>
              <w:t>Plus: Impact of all LLC Units exchanged for Class A Common Stock</w:t>
            </w:r>
            <w:r>
              <w:rPr>
                <w:rFonts w:ascii="Frutiger LT 45 Light;sans-serif" w:hAnsi="Frutiger LT 45 Light;sans-serif"/>
                <w:b w:val="false"/>
                <w:color w:val="000000"/>
                <w:sz w:val="10"/>
              </w:rPr>
              <w:t>(1)</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0.06 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0.03 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0.11 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0.06 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Frutiger LT 45 Light;sans-serif" w:hAnsi="Frutiger LT 45 Light;sans-serif"/>
                <w:b w:val="false"/>
                <w:color w:val="000000"/>
                <w:sz w:val="16"/>
              </w:rPr>
              <w:t>Plus: Adjustments to Net Income</w:t>
            </w:r>
            <w:r>
              <w:rPr>
                <w:rFonts w:ascii="Frutiger LT 45 Light;sans-serif" w:hAnsi="Frutiger LT 45 Light;sans-serif"/>
                <w:b w:val="false"/>
                <w:color w:val="000000"/>
                <w:sz w:val="10"/>
              </w:rPr>
              <w:t>(2)</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0.06 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0.04 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0.11 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0.09 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Frutiger LT 45 Light;sans-serif" w:hAnsi="Frutiger LT 45 Light;sans-serif"/>
                <w:b w:val="false"/>
                <w:color w:val="000000"/>
                <w:sz w:val="16"/>
              </w:rPr>
              <w:t>Plus: Other Adjustments</w:t>
            </w:r>
            <w:r>
              <w:rPr>
                <w:rFonts w:ascii="Frutiger LT 45 Light;sans-serif" w:hAnsi="Frutiger LT 45 Light;sans-serif"/>
                <w:b w:val="false"/>
                <w:color w:val="000000"/>
                <w:sz w:val="10"/>
              </w:rPr>
              <w:t>(3)</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0.08 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0.14 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6"/>
              </w:rPr>
            </w:pPr>
            <w:r>
              <w:rPr>
                <w:rFonts w:ascii="Frutiger LT 45 Light;sans-serif" w:hAnsi="Frutiger LT 45 Light;sans-serif"/>
                <w:b/>
                <w:color w:val="000000"/>
                <w:sz w:val="16"/>
              </w:rPr>
              <w:t>Adjusted Diluted Earnings Per Share</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6"/>
              </w:rPr>
            </w:pPr>
            <w:r>
              <w:rPr>
                <w:rFonts w:ascii="Frutiger LT 45 Light;sans-serif" w:hAnsi="Frutiger LT 45 Light;sans-serif"/>
                <w:b/>
                <w:color w:val="000000"/>
                <w:sz w:val="16"/>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Frutiger LT 45 Light;sans-serif" w:hAnsi="Frutiger LT 45 Light;sans-serif"/>
                <w:b/>
                <w:color w:val="000000"/>
                <w:sz w:val="16"/>
              </w:rPr>
              <w:t>0.38</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6"/>
              </w:rPr>
            </w:pPr>
            <w:r>
              <w:rPr>
                <w:rFonts w:ascii="Frutiger LT 45 Light;sans-serif" w:hAnsi="Frutiger LT 45 Light;sans-serif"/>
                <w:b/>
                <w:color w:val="000000"/>
                <w:sz w:val="16"/>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Frutiger LT 45 Light;sans-serif" w:hAnsi="Frutiger LT 45 Light;sans-serif"/>
                <w:b/>
                <w:color w:val="000000"/>
                <w:sz w:val="16"/>
              </w:rPr>
              <w:t>0.20</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6"/>
              </w:rPr>
            </w:pPr>
            <w:r>
              <w:rPr>
                <w:rFonts w:ascii="Frutiger LT 45 Light;sans-serif" w:hAnsi="Frutiger LT 45 Light;sans-serif"/>
                <w:b/>
                <w:color w:val="000000"/>
                <w:sz w:val="16"/>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Frutiger LT 45 Light;sans-serif" w:hAnsi="Frutiger LT 45 Light;sans-serif"/>
                <w:b/>
                <w:color w:val="000000"/>
                <w:sz w:val="16"/>
              </w:rPr>
              <w:t>0.65</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6"/>
              </w:rPr>
            </w:pPr>
            <w:r>
              <w:rPr>
                <w:rFonts w:ascii="Frutiger LT 45 Light;sans-serif" w:hAnsi="Frutiger LT 45 Light;sans-serif"/>
                <w:b/>
                <w:color w:val="000000"/>
                <w:sz w:val="16"/>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Frutiger LT 45 Light;sans-serif" w:hAnsi="Frutiger LT 45 Light;sans-serif"/>
                <w:b/>
                <w:color w:val="000000"/>
                <w:sz w:val="16"/>
              </w:rPr>
              <w:t>0.37</w:t>
            </w: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Weighted average common stock outstanding – diluted</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13,096,390 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56,278,869 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14,001,518 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15,083,695 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Frutiger LT 45 Light;sans-serif" w:hAnsi="Frutiger LT 45 Light;sans-serif"/>
                <w:b w:val="false"/>
                <w:color w:val="000000"/>
                <w:sz w:val="16"/>
              </w:rPr>
              <w:t>Plus: Impact of all LLC Units exchanged for Class A Common Stock</w:t>
            </w:r>
            <w:r>
              <w:rPr>
                <w:rFonts w:ascii="Frutiger LT 45 Light;sans-serif" w:hAnsi="Frutiger LT 45 Light;sans-serif"/>
                <w:b w:val="false"/>
                <w:color w:val="000000"/>
                <w:sz w:val="10"/>
              </w:rPr>
              <w:t>(1)</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41,310,273 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41,292,207 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41,171,461 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6"/>
              </w:rPr>
            </w:pPr>
            <w:r>
              <w:rPr>
                <w:rFonts w:ascii="Frutiger LT 45 Light;sans-serif" w:hAnsi="Frutiger LT 45 Light;sans-serif"/>
                <w:b/>
                <w:color w:val="000000"/>
                <w:sz w:val="16"/>
              </w:rPr>
              <w:t>Adjusted Diluted Earnings Per Share diluted share count</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Frutiger LT 45 Light;sans-serif" w:hAnsi="Frutiger LT 45 Light;sans-serif"/>
                <w:b/>
                <w:color w:val="000000"/>
                <w:sz w:val="16"/>
              </w:rPr>
              <w:t>54,406,663</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Frutiger LT 45 Light;sans-serif" w:hAnsi="Frutiger LT 45 Light;sans-serif"/>
                <w:b/>
                <w:color w:val="000000"/>
                <w:sz w:val="16"/>
              </w:rPr>
              <w:t>56,278,869</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Frutiger LT 45 Light;sans-serif" w:hAnsi="Frutiger LT 45 Light;sans-serif"/>
                <w:b/>
                <w:color w:val="000000"/>
                <w:sz w:val="16"/>
              </w:rPr>
              <w:t>55,293,725</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Frutiger LT 45 Light;sans-serif" w:hAnsi="Frutiger LT 45 Light;sans-serif"/>
                <w:b/>
                <w:color w:val="000000"/>
                <w:sz w:val="16"/>
              </w:rPr>
              <w:t>56,255,156</w:t>
            </w: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pPr>
      <w:r>
        <w:rPr>
          <w:rFonts w:ascii="Frutiger LT 55 Roman;sans-serif" w:hAnsi="Frutiger LT 55 Roman;sans-serif"/>
          <w:b w:val="false"/>
          <w:color w:val="000000"/>
          <w:sz w:val="15"/>
        </w:rPr>
        <w:t>(1)    For comparability purposes, this calculation incorporates the net income that would be distributable if all shares of Class B Common Stock and Class C Common Stock, together with the related LLC Units, were exchanged for shares of Class A Common Stock. For the three and six months ended June 30, 2026, this includes $10.5 million and $18.3 million, respectively, of net income on 54,406,663 and 14,001,518</w:t>
      </w:r>
      <w:r>
        <w:rPr>
          <w:color w:val="000000"/>
        </w:rPr>
        <w:t xml:space="preserve"> </w:t>
      </w:r>
      <w:r>
        <w:rPr>
          <w:rFonts w:ascii="Frutiger LT 55 Roman;sans-serif" w:hAnsi="Frutiger LT 55 Roman;sans-serif"/>
          <w:b w:val="false"/>
          <w:color w:val="000000"/>
          <w:sz w:val="15"/>
        </w:rPr>
        <w:t>weighted-average shares of common stock outstanding-diluted, respectively. For the three and six months ended June 30, 2025, this includes $7.0 million and $12.6 million, respectively, of net income on 56,278,869 and 56,255,156 weighted-average shares of common stock outstanding-diluted, respectively. For the three and six months ended June 30, 2026, weighted average outstanding Class B Common Stock and Class C Common Stock were considered dilutive and included in the 54,406,663 weighted-average shares of common stock outstanding-diluted within diluted earnings per share calculation. See Note 13 Earnings Per Share to our Condensed Consolidated Financial Statements included elsewhere in this Quarterly Report for more information about the earnings per share.</w:t>
      </w:r>
    </w:p>
    <w:p>
      <w:pPr>
        <w:pStyle w:val="TextBody"/>
        <w:bidi w:val="0"/>
        <w:spacing w:lineRule="auto" w:line="288" w:before="0" w:after="60"/>
        <w:jc w:val="left"/>
        <w:rPr>
          <w:rFonts w:ascii="Frutiger LT 55 Roman;sans-serif" w:hAnsi="Frutiger LT 55 Roman;sans-serif"/>
          <w:b w:val="false"/>
          <w:color w:val="000000"/>
          <w:sz w:val="15"/>
        </w:rPr>
      </w:pPr>
      <w:r>
        <w:rPr>
          <w:rFonts w:ascii="Frutiger LT 55 Roman;sans-serif" w:hAnsi="Frutiger LT 55 Roman;sans-serif"/>
          <w:b w:val="false"/>
          <w:color w:val="000000"/>
          <w:sz w:val="15"/>
        </w:rPr>
        <w:t>(2)    Adjustments to Net Income are described in the footnotes of the reconciliation of Adjusted Net Income to net income in “Adjusted Net Income and Adjusted Net Income Margin”, which represent the difference between net income of $17.3 million and Adjusted Net Income of $20.3 million, as well as the net income of $30.3 million and Adjusted Net Income of $36.4 million for the three and six months ended June 30, 2026, respectively. Adjusted Diluted Earnings Per Share include adjustments of $3.0 million to Adjusted Net Income on 54,406,663 weighted-average shares of common stock outstanding-diluted and $6.1 million to Adjusted Net Income on 55,293,725 weighted-average shares of common stock outstanding-diluted, for the three and six months ended June 30, 2026, respectively.</w:t>
      </w:r>
    </w:p>
    <w:p>
      <w:pPr>
        <w:pStyle w:val="TextBody"/>
        <w:bidi w:val="0"/>
        <w:spacing w:lineRule="auto" w:line="288" w:before="0" w:after="160"/>
        <w:jc w:val="left"/>
        <w:rPr>
          <w:rFonts w:ascii="Frutiger LT 55 Roman;sans-serif" w:hAnsi="Frutiger LT 55 Roman;sans-serif"/>
          <w:b w:val="false"/>
          <w:color w:val="000000"/>
          <w:sz w:val="15"/>
        </w:rPr>
      </w:pPr>
      <w:r>
        <w:rPr>
          <w:rFonts w:ascii="Frutiger LT 55 Roman;sans-serif" w:hAnsi="Frutiger LT 55 Roman;sans-serif"/>
          <w:b w:val="false"/>
          <w:color w:val="000000"/>
          <w:sz w:val="15"/>
        </w:rPr>
        <w:t>(3)    Impact of TWFG MGA FL redeemable noncontrolling interest: Incorporates the net income attributable to the 49.9% interest in TWFG MGA FL, LLC held by AIH Sub, Inc. Unlike the Class B and Class C holders, AIH Sub, Inc. does not hold exchange rights into Class A Common Stock but rather holds a put option exercisable between 2030 and 2033. This component is included to present Adjusted Diluted Earnings Per Share on the same fully consolidated basis as Adjusted EBITDA, ensuring comparability between the two metrics. For the three and six months ended June 30, 2026, this component includes $4.3 million and $7.9 million of net income attributable to AIH Sub, Inc.</w:t>
      </w:r>
    </w:p>
    <w:p>
      <w:pPr>
        <w:pStyle w:val="TextBody"/>
        <w:bidi w:val="0"/>
        <w:spacing w:lineRule="auto" w:line="288" w:before="0" w:after="160"/>
        <w:jc w:val="left"/>
        <w:rPr/>
      </w:pPr>
      <w:r>
        <w:rPr>
          <w:rFonts w:ascii="Frutiger LT 45 Light;sans-serif" w:hAnsi="Frutiger LT 45 Light;sans-serif"/>
          <w:b/>
          <w:i/>
          <w:color w:val="000000"/>
          <w:sz w:val="20"/>
        </w:rPr>
        <w:t>Adjusted EBITDA.</w:t>
      </w:r>
      <w:r>
        <w:rPr>
          <w:color w:val="000000"/>
        </w:rPr>
        <w:t xml:space="preserve"> </w:t>
      </w:r>
      <w:r>
        <w:rPr>
          <w:rFonts w:ascii="Frutiger LT 45 Light;sans-serif" w:hAnsi="Frutiger LT 45 Light;sans-serif"/>
          <w:b w:val="false"/>
          <w:color w:val="000000"/>
          <w:sz w:val="20"/>
        </w:rPr>
        <w:t xml:space="preserve">Adjusted EBITDA is a supplemental measure of our performance and is defined as EBITDA adjusted to reflect items such as equity-based compensation, interest income, other non-operating and certain nonrecurring items, while excluding the impact of the sale of non-current assets. EBITDA is defined as net income (the most directly comparable GAAP measure) before interest, income taxes, depreciation and amortization. We believe that Adjusted EBITDA is an appropriate measure of operating performance because it adjusts for significant one-time, non-recurring items and eliminates the ongoing accounting effects of certain capital spending and acquisitions, such as depreciation and amortization, that do not directly affect what management considers to be our ongoing operating performance in the period. These adjustments eliminate the effects of certain items that may vary from company to company for reasons unrelated to overall operating performance. Our measure of Adjusted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7955"/>
                <wp:effectExtent l="0" t="0" r="0" b="0"/>
                <wp:wrapNone/>
                <wp:docPr id="40" name="Frame4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28</w:t>
                      </w:r>
                    </w:p>
                  </w:txbxContent>
                </v:textbox>
                <w10:wrap type="none"/>
              </v:rect>
            </w:pict>
          </mc:Fallback>
        </mc:AlternateContent>
      </w:r>
    </w:p>
    <w:p>
      <w:pPr>
        <w:pStyle w:val="TextBody"/>
        <w:bidi w:val="0"/>
        <w:spacing w:lineRule="auto" w:line="288" w:before="0" w:after="160"/>
        <w:jc w:val="left"/>
        <w:rPr/>
      </w:pPr>
      <w:hyperlink w:anchor="i54bb4eec0dab4063b7a5a162c0b6d974_7">
        <w:r>
          <w:rPr>
            <w:rStyle w:val="InternetLink"/>
          </w:rPr>
          <w:t xml:space="preserve">Table </w:t>
        </w:r>
      </w:hyperlink>
      <w:hyperlink w:anchor="i54bb4eec0dab4063b7a5a162c0b6d974_7">
        <w:r>
          <w:rPr>
            <w:rStyle w:val="InternetLink"/>
          </w:rPr>
          <w:t>of</w:t>
        </w:r>
      </w:hyperlink>
      <w:hyperlink w:anchor="i54bb4eec0dab4063b7a5a162c0b6d974_7">
        <w:r>
          <w:rPr>
            <w:rStyle w:val="InternetLink"/>
          </w:rPr>
          <w:t xml:space="preserve"> Contents</w:t>
        </w:r>
      </w:hyperlink>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EBITDA is not necessarily comparable to other similarly titled captions of other companies due to potential inconsistencies in the methods of calculation.</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Beginning in the year ended December 31, 2025, we updated our definition of Adjusted EBITDA to exclude the impact of the sale of non-current assets. The impact of this change on our Adjusted EBITDA for the year ended December 31, 2025, as well as on previously reported periods, was not material. As a result, prior</w:t>
        <w:noBreakHyphen/>
        <w:t xml:space="preserve">period amounts have not been recast. We believe this minor refinement to our definition provides improved alignment with how management evaluates operating performance and enhances the measure’s usefulness for investors while maintaining comparability with prior periods. </w:t>
      </w:r>
    </w:p>
    <w:p>
      <w:pPr>
        <w:pStyle w:val="TextBody"/>
        <w:bidi w:val="0"/>
        <w:spacing w:lineRule="auto" w:line="288" w:before="0" w:after="0"/>
        <w:jc w:val="left"/>
        <w:rPr/>
      </w:pPr>
      <w:r>
        <w:rPr>
          <w:rFonts w:ascii="Frutiger LT 45 Light;sans-serif" w:hAnsi="Frutiger LT 45 Light;sans-serif"/>
          <w:b/>
          <w:i/>
          <w:color w:val="000000"/>
          <w:sz w:val="20"/>
        </w:rPr>
        <w:t>Adjusted EBITDA Margin</w:t>
      </w:r>
      <w:r>
        <w:rPr>
          <w:rFonts w:ascii="Frutiger LT 45 Light;sans-serif" w:hAnsi="Frutiger LT 45 Light;sans-serif"/>
          <w:b w:val="false"/>
          <w:color w:val="000000"/>
          <w:sz w:val="20"/>
        </w:rPr>
        <w:t>. Adjusted EBITDA Margin is Adjusted EBITDA divided by total revenues. We believe that Adjusted EBITDA Margin is a useful measurement of operating profitability for the same reasons we find Adjusted EBITDA useful and also because it provides a period-to-period comparison of our operating performance.</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A reconciliation of Adjusted EBITDA and Adjusted EBITDA Margin to Net income and Net income margin, the most directly comparable GAAP measures, for each of the periods indicated is as follows (in thousands):</w:t>
      </w:r>
    </w:p>
    <w:tbl>
      <w:tblPr>
        <w:tblW w:w="9603" w:type="dxa"/>
        <w:jc w:val="left"/>
        <w:tblInd w:w="0" w:type="dxa"/>
        <w:tblLayout w:type="fixed"/>
        <w:tblCellMar>
          <w:top w:w="28" w:type="dxa"/>
          <w:left w:w="28" w:type="dxa"/>
          <w:bottom w:w="28" w:type="dxa"/>
          <w:right w:w="28" w:type="dxa"/>
        </w:tblCellMar>
      </w:tblPr>
      <w:tblGrid>
        <w:gridCol w:w="1267"/>
        <w:gridCol w:w="1111"/>
        <w:gridCol w:w="1117"/>
        <w:gridCol w:w="408"/>
        <w:gridCol w:w="211"/>
        <w:gridCol w:w="496"/>
        <w:gridCol w:w="211"/>
        <w:gridCol w:w="211"/>
        <w:gridCol w:w="211"/>
        <w:gridCol w:w="408"/>
        <w:gridCol w:w="211"/>
        <w:gridCol w:w="496"/>
        <w:gridCol w:w="109"/>
        <w:gridCol w:w="109"/>
        <w:gridCol w:w="109"/>
        <w:gridCol w:w="369"/>
        <w:gridCol w:w="233"/>
        <w:gridCol w:w="548"/>
        <w:gridCol w:w="191"/>
        <w:gridCol w:w="191"/>
        <w:gridCol w:w="191"/>
        <w:gridCol w:w="369"/>
        <w:gridCol w:w="219"/>
        <w:gridCol w:w="607"/>
      </w:tblGrid>
      <w:tr>
        <w:trPr/>
        <w:tc>
          <w:tcPr>
            <w:tcW w:w="126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3"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Three Months Ended June 30,</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8"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Six Months Ended June 30,</w:t>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2026</w:t>
            </w:r>
          </w:p>
        </w:tc>
        <w:tc>
          <w:tcPr>
            <w:tcW w:w="6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2026</w:t>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2025</w:t>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Total Revenues</w:t>
            </w:r>
          </w:p>
        </w:tc>
        <w:tc>
          <w:tcPr>
            <w:tcW w:w="4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87,511</w:t>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60,308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160,352</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114,131</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Net income</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17,251</w:t>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9,000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30,330</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15,853</w:t>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Interest expense</w:t>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57</w:t>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119</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151</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Frutiger LT 45 Light;sans-serif" w:hAnsi="Frutiger LT 45 Light;sans-serif"/>
                <w:b w:val="false"/>
                <w:color w:val="000000"/>
                <w:sz w:val="16"/>
              </w:rPr>
              <w:t>Interest income</w:t>
            </w:r>
            <w:r>
              <w:rPr>
                <w:rFonts w:ascii="Frutiger LT 45 Light;sans-serif" w:hAnsi="Frutiger LT 45 Light;sans-serif"/>
                <w:b w:val="false"/>
                <w:color w:val="000000"/>
                <w:sz w:val="10"/>
              </w:rPr>
              <w:t>(1)</w:t>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(759)</w:t>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(1,751)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(1,973)</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(3,614)</w:t>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Depreciation and amortization</w:t>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7,065</w:t>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3,901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13,234</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7,260</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Income tax expense</w:t>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1,031</w:t>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2,164</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1,276</w:t>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EBITDA</w:t>
            </w:r>
          </w:p>
        </w:tc>
        <w:tc>
          <w:tcPr>
            <w:tcW w:w="11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24,645</w:t>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11,838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43,874</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20,926</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Acquisition-related expenses</w:t>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30</w:t>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155</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52</w:t>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Equity-based compensation</w:t>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1,166</w:t>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1,515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2,022</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2,719</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Frutiger LT 45 Light;sans-serif" w:hAnsi="Frutiger LT 45 Light;sans-serif"/>
                <w:b w:val="false"/>
                <w:color w:val="000000"/>
                <w:sz w:val="16"/>
              </w:rPr>
              <w:t>Interest income</w:t>
            </w:r>
            <w:r>
              <w:rPr>
                <w:rFonts w:ascii="Frutiger LT 45 Light;sans-serif" w:hAnsi="Frutiger LT 45 Light;sans-serif"/>
                <w:b w:val="false"/>
                <w:color w:val="000000"/>
                <w:sz w:val="10"/>
              </w:rPr>
              <w:t>(1)</w:t>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759</w:t>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1,751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1,973</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3,614</w:t>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Frutiger LT 45 Light;sans-serif" w:hAnsi="Frutiger LT 45 Light;sans-serif"/>
                <w:b w:val="false"/>
                <w:color w:val="000000"/>
                <w:sz w:val="16"/>
              </w:rPr>
              <w:t>Gain on sale of non-current assets, net</w:t>
            </w:r>
            <w:r>
              <w:rPr>
                <w:rFonts w:ascii="Frutiger LT 45 Light;sans-serif" w:hAnsi="Frutiger LT 45 Light;sans-serif"/>
                <w:b w:val="false"/>
                <w:color w:val="000000"/>
                <w:sz w:val="10"/>
              </w:rPr>
              <w:t>(2)</w:t>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w:t>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(701)</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Frutiger LT 45 Light;sans-serif" w:hAnsi="Frutiger LT 45 Light;sans-serif"/>
                <w:b w:val="false"/>
                <w:color w:val="000000"/>
                <w:sz w:val="16"/>
              </w:rPr>
              <w:t>Other non-recurring items</w:t>
            </w:r>
            <w:r>
              <w:rPr>
                <w:rFonts w:ascii="Frutiger LT 45 Light;sans-serif" w:hAnsi="Frutiger LT 45 Light;sans-serif"/>
                <w:b w:val="false"/>
                <w:color w:val="000000"/>
                <w:sz w:val="10"/>
              </w:rPr>
              <w:t>(3)</w:t>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466</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w:t>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Adjusted EBITDA</w:t>
            </w:r>
          </w:p>
        </w:tc>
        <w:tc>
          <w:tcPr>
            <w:tcW w:w="4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26,601</w:t>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15,133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47,789</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27,321</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Net Income Margin</w:t>
            </w:r>
          </w:p>
        </w:tc>
        <w:tc>
          <w:tcPr>
            <w:tcW w:w="61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19.7 </w:t>
            </w:r>
          </w:p>
        </w:tc>
        <w:tc>
          <w:tcPr>
            <w:tcW w:w="4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14.9 </w:t>
            </w:r>
          </w:p>
        </w:tc>
        <w:tc>
          <w:tcPr>
            <w:tcW w:w="4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18.9 </w:t>
            </w:r>
          </w:p>
        </w:tc>
        <w:tc>
          <w:tcPr>
            <w:tcW w:w="54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13.9 </w:t>
            </w:r>
          </w:p>
        </w:tc>
        <w:tc>
          <w:tcPr>
            <w:tcW w:w="60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Adjusted EBITDA Margin</w:t>
            </w:r>
          </w:p>
        </w:tc>
        <w:tc>
          <w:tcPr>
            <w:tcW w:w="6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30.4 </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25.1 </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29.8 </w:t>
            </w:r>
          </w:p>
        </w:tc>
        <w:tc>
          <w:tcPr>
            <w:tcW w:w="5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23.9 </w:t>
            </w:r>
          </w:p>
        </w:tc>
        <w:tc>
          <w:tcPr>
            <w:tcW w:w="6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r>
      <w:tr>
        <w:trPr/>
        <w:tc>
          <w:tcPr>
            <w:tcW w:w="349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left"/>
        <w:rPr/>
      </w:pPr>
      <w:r>
        <w:rPr>
          <w:rFonts w:ascii="Frutiger LT 55 Roman;sans-serif" w:hAnsi="Frutiger LT 55 Roman;sans-serif"/>
          <w:b w:val="false"/>
          <w:color w:val="000000"/>
          <w:sz w:val="15"/>
          <w:shd w:fill="FFFFFF" w:val="clear"/>
        </w:rPr>
        <w:t>(1)</w:t>
      </w:r>
      <w:r>
        <w:rPr>
          <w:rFonts w:ascii="Frutiger LT 55 Roman;sans-serif" w:hAnsi="Frutiger LT 55 Roman;sans-serif"/>
          <w:b w:val="false"/>
          <w:color w:val="000000"/>
          <w:sz w:val="15"/>
        </w:rPr>
        <w:t>Interest income reflects interest and other earnings on cash balances held by the Company. This income is included in Adjusted EBITDA as we view our total interest and investment income as an integral part of our business model and earnings stream until deployed.</w:t>
      </w:r>
    </w:p>
    <w:p>
      <w:pPr>
        <w:pStyle w:val="TextBody"/>
        <w:bidi w:val="0"/>
        <w:spacing w:lineRule="auto" w:line="288" w:before="0" w:after="40"/>
        <w:jc w:val="left"/>
        <w:rPr/>
      </w:pPr>
      <w:r>
        <w:rPr>
          <w:rFonts w:ascii="Frutiger LT 55 Roman;sans-serif" w:hAnsi="Frutiger LT 55 Roman;sans-serif"/>
          <w:b w:val="false"/>
          <w:color w:val="000000"/>
          <w:sz w:val="15"/>
        </w:rPr>
        <w:t>(2)</w:t>
      </w:r>
      <w:r>
        <w:rPr>
          <w:rFonts w:ascii="Frutiger LT 55 Roman;sans-serif" w:hAnsi="Frutiger LT 55 Roman;sans-serif"/>
          <w:b w:val="false"/>
          <w:color w:val="000000"/>
          <w:sz w:val="15"/>
          <w:shd w:fill="FFFFFF" w:val="clear"/>
        </w:rPr>
        <w:t>During the first and second quarter of 2025, a gain related to the sale of non-current assets was not excluded from Adjusted Net Income consistent with the Company’s stated definition. The presentation has been adjusted in the fourth quarter and full-year 2025 results to conform to the Company’s definition of Adjusted Net Income. This adjustment impacts only non-GAAP measures and had no effect on previously reported GAAP results.</w:t>
      </w:r>
    </w:p>
    <w:p>
      <w:pPr>
        <w:pStyle w:val="TextBody"/>
        <w:bidi w:val="0"/>
        <w:spacing w:lineRule="auto" w:line="288" w:before="0" w:after="160"/>
        <w:jc w:val="left"/>
        <w:rPr/>
      </w:pPr>
      <w:r>
        <w:rPr>
          <w:rFonts w:ascii="Frutiger LT 55 Roman;sans-serif" w:hAnsi="Frutiger LT 55 Roman;sans-serif"/>
          <w:b w:val="false"/>
          <w:color w:val="000000"/>
          <w:sz w:val="15"/>
        </w:rPr>
        <w:t>(3)</w:t>
      </w:r>
      <w:r>
        <w:rPr>
          <w:rFonts w:ascii="Frutiger LT 55 Roman;sans-serif" w:hAnsi="Frutiger LT 55 Roman;sans-serif"/>
          <w:b w:val="false"/>
          <w:color w:val="000000"/>
          <w:sz w:val="15"/>
          <w:shd w:fill="FFFFFF" w:val="clear"/>
        </w:rPr>
        <w:t>Non-recurring expense for the six months ended June 30, 2026 relates to the write-off of a commission receivable resulting from a contractual dispute with a carrier that was resolved through commercial concession.</w:t>
      </w:r>
    </w:p>
    <w:p>
      <w:pPr>
        <w:pStyle w:val="TextBody"/>
        <w:bidi w:val="0"/>
        <w:spacing w:lineRule="auto" w:line="288" w:before="0" w:after="160"/>
        <w:jc w:val="left"/>
        <w:rPr/>
      </w:pPr>
      <w:r>
        <w:rPr>
          <w:rFonts w:ascii="Frutiger LT 45 Light;sans-serif" w:hAnsi="Frutiger LT 45 Light;sans-serif"/>
          <w:b/>
          <w:i/>
          <w:color w:val="000000"/>
          <w:sz w:val="20"/>
        </w:rPr>
        <w:t>Adjusted Free Cash Flow.</w:t>
      </w:r>
      <w:r>
        <w:rPr>
          <w:color w:val="000000"/>
        </w:rPr>
        <w:t xml:space="preserve"> </w:t>
      </w:r>
      <w:r>
        <w:rPr>
          <w:rFonts w:ascii="Frutiger LT 45 Light;sans-serif" w:hAnsi="Frutiger LT 45 Light;sans-serif"/>
          <w:b w:val="false"/>
          <w:color w:val="000000"/>
          <w:sz w:val="20"/>
        </w:rPr>
        <w:t>Adjusted Free Cash Flow is a supplemental measure of our performance. We define Adjusted Free Cash Flow as cash flow from operating activities (the most directly comparable GAAP measure) less cash payments for tax distributions, purchases of property, plant, and equipment and acquisition-related costs. We believe Adjusted Free Cash Flow is a useful measure of operating performance because it represents the cash flow from the business that is within our discretion to direct to activities including investments, debt repayment, and returning capital to stockholders.</w:t>
      </w:r>
    </w:p>
    <w:p>
      <w:pPr>
        <w:pStyle w:val="TextBody"/>
        <w:bidi w:val="0"/>
        <w:spacing w:lineRule="auto" w:line="288" w:before="0" w:after="160"/>
        <w:jc w:val="left"/>
        <w:rPr>
          <w:rFonts w:ascii="Frutiger LT 45 Light;sans-serif" w:hAnsi="Frutiger LT 45 Light;sans-serif"/>
          <w:b w:val="false"/>
          <w:color w:val="000000"/>
          <w:sz w:val="20"/>
          <w:shd w:fill="FFFFFF" w:val="clear"/>
        </w:rPr>
      </w:pPr>
      <w:r>
        <w:rPr>
          <w:rFonts w:ascii="Frutiger LT 45 Light;sans-serif" w:hAnsi="Frutiger LT 45 Light;sans-serif"/>
          <w:b w:val="false"/>
          <w:color w:val="000000"/>
          <w:sz w:val="20"/>
          <w:shd w:fill="FFFFFF" w:val="clear"/>
        </w:rPr>
        <w:t xml:space="preserve">A reconciliation of Adjusted Free Cash Flow to Cash flow from Operating Activities, the most directly comparable GAAP measures, for each of the periods indicated is as follows (in thousands): </w:t>
      </w:r>
    </w:p>
    <w:tbl>
      <w:tblPr>
        <w:tblW w:w="8174" w:type="dxa"/>
        <w:jc w:val="left"/>
        <w:tblInd w:w="0" w:type="dxa"/>
        <w:tblLayout w:type="fixed"/>
        <w:tblCellMar>
          <w:top w:w="28" w:type="dxa"/>
          <w:left w:w="28" w:type="dxa"/>
          <w:bottom w:w="28" w:type="dxa"/>
          <w:right w:w="28" w:type="dxa"/>
        </w:tblCellMar>
      </w:tblPr>
      <w:tblGrid>
        <w:gridCol w:w="1156"/>
        <w:gridCol w:w="1017"/>
        <w:gridCol w:w="1021"/>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156"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Three Months Ended</w:t>
              <w:br/>
              <w:t>June 30,</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Six Months Ended</w:t>
              <w:br/>
              <w:t>June 30,</w:t>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2025</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Cash Flow from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9,818 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9,615 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32,537 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25,260 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Purchase of property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Frutiger LT 45 Light;sans-serif" w:hAnsi="Frutiger LT 45 Light;sans-serif"/>
                <w:b w:val="false"/>
                <w:color w:val="000000"/>
                <w:sz w:val="16"/>
              </w:rPr>
              <w:t>Tax distribution to members</w:t>
            </w:r>
            <w:r>
              <w:rPr>
                <w:rFonts w:ascii="Frutiger LT 45 Light;sans-serif" w:hAnsi="Frutiger LT 45 Light;sans-serif"/>
                <w:b w:val="false"/>
                <w:color w:val="000000"/>
                <w:sz w:val="10"/>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(5,711)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(6,728)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(13,037)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(8,752)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Acquisition-related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Adjusted Free Cash Flow</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18,858 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16,501 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7955"/>
                <wp:effectExtent l="0" t="0" r="0" b="0"/>
                <wp:wrapNone/>
                <wp:docPr id="41" name="Frame4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29</w:t>
                      </w:r>
                    </w:p>
                  </w:txbxContent>
                </v:textbox>
                <w10:wrap type="none"/>
              </v:rect>
            </w:pict>
          </mc:Fallback>
        </mc:AlternateContent>
      </w:r>
    </w:p>
    <w:p>
      <w:pPr>
        <w:pStyle w:val="TextBody"/>
        <w:bidi w:val="0"/>
        <w:spacing w:lineRule="auto" w:line="288" w:before="0" w:after="160"/>
        <w:jc w:val="left"/>
        <w:rPr/>
      </w:pPr>
      <w:hyperlink w:anchor="i54bb4eec0dab4063b7a5a162c0b6d974_7">
        <w:r>
          <w:rPr>
            <w:rStyle w:val="InternetLink"/>
          </w:rPr>
          <w:t xml:space="preserve">Table </w:t>
        </w:r>
      </w:hyperlink>
      <w:hyperlink w:anchor="i54bb4eec0dab4063b7a5a162c0b6d974_7">
        <w:r>
          <w:rPr>
            <w:rStyle w:val="InternetLink"/>
          </w:rPr>
          <w:t>of</w:t>
        </w:r>
      </w:hyperlink>
      <w:hyperlink w:anchor="i54bb4eec0dab4063b7a5a162c0b6d974_7">
        <w:r>
          <w:rPr>
            <w:rStyle w:val="InternetLink"/>
          </w:rPr>
          <w:t xml:space="preserve"> Contents</w:t>
        </w:r>
      </w:hyperlink>
    </w:p>
    <w:p>
      <w:pPr>
        <w:pStyle w:val="TextBody"/>
        <w:bidi w:val="0"/>
        <w:spacing w:lineRule="auto" w:line="288" w:before="0" w:after="160"/>
        <w:jc w:val="left"/>
        <w:rPr/>
      </w:pPr>
      <w:r>
        <w:rPr>
          <w:rFonts w:ascii="Frutiger LT 55 Roman;sans-serif" w:hAnsi="Frutiger LT 55 Roman;sans-serif"/>
          <w:b w:val="false"/>
          <w:color w:val="000000"/>
          <w:sz w:val="15"/>
        </w:rPr>
        <w:t>(1)</w:t>
      </w:r>
      <w:r>
        <w:rPr>
          <w:rFonts w:ascii="Frutiger LT 55 Roman;sans-serif" w:hAnsi="Frutiger LT 55 Roman;sans-serif"/>
          <w:b w:val="false"/>
          <w:color w:val="000000"/>
          <w:sz w:val="15"/>
        </w:rPr>
        <w:t xml:space="preserve">Tax distributions to members represents the amount distributed to the members of TWFG Holding in respect of their income tax liability related to the net income of TWFG Holding allocated to its members. </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 xml:space="preserve">Organic Revenue, Organic Revenue Growth, Adjusted Net Income, Adjusted Net Income Margin, Adjusted EBITDA, Adjusted EBITDA Margin, Adjusted Free Cash Flow and Adjusted Diluted Earnings Per Share are not measures of financial performance under GAAP and should not be considered substitutes for GAAP measures, including revenues (for Organic Revenue and Organic Revenue Growth), net income (for Adjusted Net Income, Adjusted Net Income Margin, Adjusted EBITDA and Adjusted EBITDA Margin), cash flow from operating activities (for Adjusted Free Cash Flow) and diluted earnings per share (for Adjusted Diluted Earnings Per Share), which we consider to be the most directly comparable GAAP measures. These non-GAAP financial measures have limitations as analytical tools, and when assessing our operating performance, you should not consider these non-GAAP financial measures in isolation or as substitutes for revenues, net income, operating cash flow or other consolidated financial statement data prepared in accordance with GAAP. Other companies may calculate any or all of these non-GAAP financial measures differently than we do, limiting their usefulness as comparative measures.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45 Light;sans-serif" w:hAnsi="Frutiger LT 45 Light;sans-serif"/>
          <w:b/>
          <w:color w:val="000000"/>
          <w:sz w:val="24"/>
        </w:rPr>
      </w:pPr>
      <w:r>
        <w:rPr>
          <w:rFonts w:ascii="Frutiger LT 45 Light;sans-serif" w:hAnsi="Frutiger LT 45 Light;sans-serif"/>
          <w:b/>
          <w:color w:val="000000"/>
          <w:sz w:val="24"/>
        </w:rPr>
        <w:t>Liquidity and capital resources</w:t>
      </w:r>
    </w:p>
    <w:p>
      <w:pPr>
        <w:pStyle w:val="TextBody"/>
        <w:bidi w:val="0"/>
        <w:spacing w:lineRule="auto" w:line="288" w:before="0" w:after="160"/>
        <w:jc w:val="left"/>
        <w:rPr>
          <w:rFonts w:ascii="Frutiger LT 45 Light;sans-serif" w:hAnsi="Frutiger LT 45 Light;sans-serif"/>
          <w:b/>
          <w:i/>
          <w:color w:val="000000"/>
          <w:sz w:val="20"/>
        </w:rPr>
      </w:pPr>
      <w:r>
        <w:rPr>
          <w:rFonts w:ascii="Frutiger LT 45 Light;sans-serif" w:hAnsi="Frutiger LT 45 Light;sans-serif"/>
          <w:b/>
          <w:i/>
          <w:color w:val="000000"/>
          <w:sz w:val="20"/>
        </w:rPr>
        <w:t>Historical liquidity context</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As of June 30, 2026, the Company had $73.7 million in cash and cash equivalents and $19.0 million in restricted cash, compared to $155.9 million and $12.0 million, respectively, as of December 31, 2025. The decrease in cash and cash equivalents for the six months ended June 30, 2026 was primarily attributable to $54.0 million of cash paid for acquisitions, $42.9 million paid for Class A share repurchases of Class A Common Stock, and $18.6 million in member distributions, partially offset by positive cash flows from operations of $32.5 million.</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The Company maintains access to the $50.0 million Revolving Facility (as defined below), of which zero was outstanding at June 30, 2026. We were in compliance with all financial covenants under our debt agreements as of the end of the period. Management believes existing liquidity sources, together with cash generated from operations, will be sufficient to meet working capital and capital expenditures for at least the next 12 months.</w:t>
      </w:r>
    </w:p>
    <w:p>
      <w:pPr>
        <w:pStyle w:val="TextBody"/>
        <w:bidi w:val="0"/>
        <w:spacing w:lineRule="auto" w:line="288" w:before="0" w:after="160"/>
        <w:jc w:val="left"/>
        <w:rPr>
          <w:rFonts w:ascii="Frutiger LT 45 Light;sans-serif" w:hAnsi="Frutiger LT 45 Light;sans-serif"/>
          <w:b/>
          <w:i/>
          <w:color w:val="000000"/>
          <w:sz w:val="20"/>
        </w:rPr>
      </w:pPr>
      <w:r>
        <w:rPr>
          <w:rFonts w:ascii="Frutiger LT 45 Light;sans-serif" w:hAnsi="Frutiger LT 45 Light;sans-serif"/>
          <w:b/>
          <w:i/>
          <w:color w:val="000000"/>
          <w:sz w:val="20"/>
        </w:rPr>
        <w:t>Credit agreements</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On June 5, 2017, TWFG Holding, as borrower, entered into a credit agreement (as subsequently amended, the “Term Loan Credit Agreement”) with PNC Bank, National Association, as lender. On July 30, 2019, TWFG Holding entered into a third amendment to the Term Loan Credit Agreement pursuant to which it borrowed $4.0 million pursuant to a Term Loan B and used these proceeds for permitted acquisitions. On December 4, 2020, TWFG Holding entered into a fifth amendment to the Term Loan Credit Agreement pursuant to which it borrowed an additional $13.0 million pursuant to a Term Loan C and used these proceeds for permitted acquisitions (such amount, together with the amount borrowed on July 30, 2019, the “Term Loans”). On May 23, 2023, TWFG Holding entered into a ninth amendment to the Term Loan Credit Agreement to, among other provisions, provide additional flexibility under the covenants contained therein. The Term Loan B was fully repaid by its maturity on July 30, 2024. As of June 30, 2026, $3.0 million remained outstanding under Term Loan C.</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The Revolving Credit Agreement (the “Revolving Credit Agreement”) with PNC Bank National Association, dated as of May 23, 2023 and as amended on June 20, 2024, provides a revolving credit facility to the Company, with commitments in an aggregate principal amount not to exceed $50.0 million (as so amended, the “Revolving Facility,” and together with the Term Loan Credit Agreement, the “Credit Agreements”). Borrowings constituting revolving loans under the Revolving Credit Agreement incur interest at the Term SOFR Rate (as defined therein) for the applicable interest period plus a margin based on the consolidated leverage ratio of the Company between 2% and 2.75%, and a 0.10% adjustment. The borrowings under the Revolving Facility may be used by the Company for permitted acquisitions, working capital and general corporate purposes. The Company pays a commitment fee on unutilized amounts under the Revolving Facility of 0.20% up to 0.35% based on the consolidated leverage ratio. For the periods ended June 30, 2026 and June 30, 2025, the Revolving Facility had an unutilized capacity of $50.0 million and $50.0 million, respectively.</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 xml:space="preserve">Each of the Revolving Facility and the term loans requires the Company to maintain a consolidated leverage ratio of no greater than 2.00 to 1.00 (or, after the occurrence of certain acquisitions, 2.50 to 1.00). The Credit Agreements also contain covenants that, among other provisions and subject to certain exceptions, restrict our ability to pay dividends or other distributions, incur additional debt, engage in asset sales, mergers, acquisitions or similar transactions, create liens on assets, engage in transactions with affiliates, change our business or make investments. As of June 30, 2026 and June 30, 2025, the Company was in compliance with these covenants. The carrying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7955"/>
                <wp:effectExtent l="0" t="0" r="0" b="0"/>
                <wp:wrapNone/>
                <wp:docPr id="42" name="Frame4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30</w:t>
                      </w:r>
                    </w:p>
                  </w:txbxContent>
                </v:textbox>
                <w10:wrap type="none"/>
              </v:rect>
            </w:pict>
          </mc:Fallback>
        </mc:AlternateContent>
      </w:r>
    </w:p>
    <w:p>
      <w:pPr>
        <w:pStyle w:val="TextBody"/>
        <w:bidi w:val="0"/>
        <w:spacing w:lineRule="auto" w:line="288" w:before="0" w:after="160"/>
        <w:jc w:val="left"/>
        <w:rPr/>
      </w:pPr>
      <w:hyperlink w:anchor="i54bb4eec0dab4063b7a5a162c0b6d974_7">
        <w:r>
          <w:rPr>
            <w:rStyle w:val="InternetLink"/>
          </w:rPr>
          <w:t xml:space="preserve">Table </w:t>
        </w:r>
      </w:hyperlink>
      <w:hyperlink w:anchor="i54bb4eec0dab4063b7a5a162c0b6d974_7">
        <w:r>
          <w:rPr>
            <w:rStyle w:val="InternetLink"/>
          </w:rPr>
          <w:t>of</w:t>
        </w:r>
      </w:hyperlink>
      <w:hyperlink w:anchor="i54bb4eec0dab4063b7a5a162c0b6d974_7">
        <w:r>
          <w:rPr>
            <w:rStyle w:val="InternetLink"/>
          </w:rPr>
          <w:t xml:space="preserve"> Contents</w:t>
        </w:r>
      </w:hyperlink>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amount of the Company’s variable rate debt as of June 30, 2026 and June 30, 2025 approximates fair value due to the short-term reset of the interest rate based on SOFR and the absence of a credit spread.</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Interest on the Term Loan C accrues at Daily Simple Secured Overnight Financing Rate (“SOFR”) plus the Benchmark Replacement Adjustment of 0.11448%, 0.26161%, or 0.42826% for the one-month, three-month, or six-month borrowing periods, respectively. At our option, the revolving credit facility under the Revolving Facility accrues interest on amounts drawn at the Term SOFR Rate or Daily SOFR plus the SOFR Adjustment of 0.10% and Applicable Margin of 2.00% to 2.75%, each as defined in the Revolving Facility. The Term Loans and the Revolving Facility are collateralized by substantially all the Company’s assets, which includes rights to future commissions.</w:t>
      </w:r>
    </w:p>
    <w:p>
      <w:pPr>
        <w:pStyle w:val="TextBody"/>
        <w:bidi w:val="0"/>
        <w:spacing w:lineRule="auto" w:line="288" w:before="0" w:after="160"/>
        <w:jc w:val="left"/>
        <w:rPr>
          <w:rFonts w:ascii="Frutiger LT 45 Light;sans-serif" w:hAnsi="Frutiger LT 45 Light;sans-serif"/>
          <w:b/>
          <w:i/>
          <w:color w:val="000000"/>
          <w:sz w:val="20"/>
          <w:shd w:fill="FFFFFF" w:val="clear"/>
        </w:rPr>
      </w:pPr>
      <w:r>
        <w:rPr>
          <w:rFonts w:ascii="Frutiger LT 45 Light;sans-serif" w:hAnsi="Frutiger LT 45 Light;sans-serif"/>
          <w:b/>
          <w:i/>
          <w:color w:val="000000"/>
          <w:sz w:val="20"/>
          <w:shd w:fill="FFFFFF" w:val="clear"/>
        </w:rPr>
        <w:t>Share Repurchase Program</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On February 23, 2026, our Board approved a share repurchase program that authorizes the Company to repurchase up to $50 million of its outstanding Class A common stock. Share repurchases may be made from time-to-time on the open market, in privately negotiated transactions, using Rule 10b5-1 trading plans, or in any other manner that complies with the applicable securities law. As of June 30, 2026, the Company repurchased and retired 2,252,349 shares in the open market for a total cost of $43.3 million, consisting of $42.9 million in cash paid for share repurchases and $0.4 million accrued for excise taxes. As of June 30, 2026, the dollar value of shares that remained available to be purchased under this share buyback program was approximately $7.1 million excluding excise taxes.</w:t>
      </w:r>
    </w:p>
    <w:p>
      <w:pPr>
        <w:pStyle w:val="TextBody"/>
        <w:bidi w:val="0"/>
        <w:spacing w:lineRule="auto" w:line="288" w:before="0" w:after="160"/>
        <w:jc w:val="left"/>
        <w:rPr>
          <w:rFonts w:ascii="Frutiger LT 45 Light;sans-serif" w:hAnsi="Frutiger LT 45 Light;sans-serif"/>
          <w:b/>
          <w:i/>
          <w:color w:val="000000"/>
          <w:sz w:val="20"/>
        </w:rPr>
      </w:pPr>
      <w:r>
        <w:rPr>
          <w:rFonts w:ascii="Frutiger LT 45 Light;sans-serif" w:hAnsi="Frutiger LT 45 Light;sans-serif"/>
          <w:b/>
          <w:i/>
          <w:color w:val="000000"/>
          <w:sz w:val="20"/>
        </w:rPr>
        <w:t>Comparative cash flows</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The following table summarizes our cash flows from operating, investing and financing activities for the periods indicated (in thousands):</w:t>
      </w:r>
    </w:p>
    <w:tbl>
      <w:tblPr>
        <w:tblW w:w="10205" w:type="dxa"/>
        <w:jc w:val="left"/>
        <w:tblInd w:w="0" w:type="dxa"/>
        <w:tblLayout w:type="fixed"/>
        <w:tblCellMar>
          <w:top w:w="28" w:type="dxa"/>
          <w:left w:w="28" w:type="dxa"/>
          <w:bottom w:w="28" w:type="dxa"/>
          <w:right w:w="28" w:type="dxa"/>
        </w:tblCellMar>
      </w:tblPr>
      <w:tblGrid>
        <w:gridCol w:w="2235"/>
        <w:gridCol w:w="1946"/>
        <w:gridCol w:w="1954"/>
        <w:gridCol w:w="217"/>
        <w:gridCol w:w="745"/>
        <w:gridCol w:w="112"/>
        <w:gridCol w:w="112"/>
        <w:gridCol w:w="112"/>
        <w:gridCol w:w="112"/>
        <w:gridCol w:w="217"/>
        <w:gridCol w:w="853"/>
        <w:gridCol w:w="112"/>
        <w:gridCol w:w="109"/>
        <w:gridCol w:w="109"/>
        <w:gridCol w:w="109"/>
        <w:gridCol w:w="211"/>
        <w:gridCol w:w="781"/>
        <w:gridCol w:w="159"/>
      </w:tblGrid>
      <w:tr>
        <w:trPr/>
        <w:tc>
          <w:tcPr>
            <w:tcW w:w="2235"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Six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Variance</w:t>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Net cash provided by operating activities from continuing operations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32,537 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25,260 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7,277 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Net cash (used in) investing activities from continuing operations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(53,330)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(46,706)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(6,624)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Net cash (used in) financing activities from continuing operations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(54,356)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(12,876)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(41,480)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Net change in cash, cash equivalents and restricted cash from continuing operations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(75,149)</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(34,322)</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(40,827)</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Cash, cash equivalents and restricted cash from continuing operations, beginning of period</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167,900 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205,323 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(37,423)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Cash, cash equivalents and restricted cash from continuing operations, end of period</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92,751 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171,001 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(78,250)</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Cash paid during the period for interest</w:t>
            </w:r>
          </w:p>
        </w:tc>
        <w:tc>
          <w:tcPr>
            <w:tcW w:w="2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71 </w:t>
            </w:r>
          </w:p>
        </w:tc>
        <w:tc>
          <w:tcPr>
            <w:tcW w:w="11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5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105 </w:t>
            </w:r>
          </w:p>
        </w:tc>
        <w:tc>
          <w:tcPr>
            <w:tcW w:w="11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(34)</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Cash paid during the period for taxes</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3,060 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3,060 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Frutiger LT 45 Light;sans-serif" w:hAnsi="Frutiger LT 45 Light;sans-serif"/>
          <w:b/>
          <w:i/>
          <w:color w:val="000000"/>
          <w:sz w:val="20"/>
        </w:rPr>
      </w:pPr>
      <w:r>
        <w:rPr>
          <w:rFonts w:ascii="Frutiger LT 45 Light;sans-serif" w:hAnsi="Frutiger LT 45 Light;sans-serif"/>
          <w:b/>
          <w:i/>
          <w:color w:val="000000"/>
          <w:sz w:val="20"/>
        </w:rPr>
        <w:t>Comparison of the Six Months Ended June 30, 2026 and 2025</w:t>
      </w:r>
    </w:p>
    <w:p>
      <w:pPr>
        <w:pStyle w:val="TextBody"/>
        <w:bidi w:val="0"/>
        <w:spacing w:lineRule="auto" w:line="288" w:before="0" w:after="160"/>
        <w:jc w:val="left"/>
        <w:rPr>
          <w:rFonts w:ascii="Frutiger LT 45 Light;sans-serif" w:hAnsi="Frutiger LT 45 Light;sans-serif"/>
          <w:b/>
          <w:i/>
          <w:color w:val="000000"/>
          <w:sz w:val="20"/>
        </w:rPr>
      </w:pPr>
      <w:r>
        <w:rPr>
          <w:rFonts w:ascii="Frutiger LT 45 Light;sans-serif" w:hAnsi="Frutiger LT 45 Light;sans-serif"/>
          <w:b/>
          <w:i/>
          <w:color w:val="000000"/>
          <w:sz w:val="20"/>
        </w:rPr>
        <w:t>Operating activities</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Operating activities from continuing operations provided $32.5 million and $25.3 million of cash for the six months ended June 30, 2026 and 2025, respectively. The increase in net cash provided by operating activities was driven by a $14.5 million increase in net income, $12.5 million outflow from the change in working capital between periods, which was primarily attributable to the increase in commissions receivable, and $5.3 million in net change of non-cash adjustments in the period which include amortization, stock-based compensation, and non-cash lease expense. See “Consolidated Results of Operations” above for additional information regarding the results of our operations.</w:t>
      </w:r>
    </w:p>
    <w:p>
      <w:pPr>
        <w:pStyle w:val="TextBody"/>
        <w:bidi w:val="0"/>
        <w:spacing w:lineRule="auto" w:line="288" w:before="0" w:after="160"/>
        <w:jc w:val="left"/>
        <w:rPr>
          <w:rFonts w:ascii="Frutiger LT 45 Light;sans-serif" w:hAnsi="Frutiger LT 45 Light;sans-serif"/>
          <w:b/>
          <w:i/>
          <w:color w:val="000000"/>
          <w:sz w:val="20"/>
        </w:rPr>
      </w:pPr>
      <w:r>
        <w:rPr>
          <w:rFonts w:ascii="Frutiger LT 45 Light;sans-serif" w:hAnsi="Frutiger LT 45 Light;sans-serif"/>
          <w:b/>
          <w:i/>
          <w:color w:val="000000"/>
          <w:sz w:val="20"/>
        </w:rPr>
        <w:t>Investing activities</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Investing activities from continuing operations used $53.3 million and $46.7 million of cash for the six months ended June 30, 2026 and 2025, respectively. Our net investing outflows increased primarily due to the higher level of intangible asset acquisitions in the current period of $53.2 million compared to $47.2 million in the prior period partially offset by $0.7 million inflow from proceeds on the sale of intangible assets. In addition, outflow of $0.8 million for property and equipment acquisitions occurred during the six months ended June 30, 2026. See Note 4 Intangibles, Acquisitions and Disposals to our Condensed Consolidated Financial Statements included elsewhere in this Quarterly Report for additional information regarding our asset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7955"/>
                <wp:effectExtent l="0" t="0" r="0" b="0"/>
                <wp:wrapNone/>
                <wp:docPr id="43" name="Frame4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31</w:t>
                      </w:r>
                    </w:p>
                  </w:txbxContent>
                </v:textbox>
                <w10:wrap type="none"/>
              </v:rect>
            </w:pict>
          </mc:Fallback>
        </mc:AlternateContent>
      </w:r>
    </w:p>
    <w:p>
      <w:pPr>
        <w:pStyle w:val="TextBody"/>
        <w:bidi w:val="0"/>
        <w:spacing w:lineRule="auto" w:line="288" w:before="0" w:after="160"/>
        <w:jc w:val="left"/>
        <w:rPr/>
      </w:pPr>
      <w:hyperlink w:anchor="i54bb4eec0dab4063b7a5a162c0b6d974_7">
        <w:r>
          <w:rPr>
            <w:rStyle w:val="InternetLink"/>
          </w:rPr>
          <w:t xml:space="preserve">Table </w:t>
        </w:r>
      </w:hyperlink>
      <w:hyperlink w:anchor="i54bb4eec0dab4063b7a5a162c0b6d974_7">
        <w:r>
          <w:rPr>
            <w:rStyle w:val="InternetLink"/>
          </w:rPr>
          <w:t>of</w:t>
        </w:r>
      </w:hyperlink>
      <w:hyperlink w:anchor="i54bb4eec0dab4063b7a5a162c0b6d974_7">
        <w:r>
          <w:rPr>
            <w:rStyle w:val="InternetLink"/>
          </w:rPr>
          <w:t xml:space="preserve"> Contents</w:t>
        </w:r>
      </w:hyperlink>
    </w:p>
    <w:p>
      <w:pPr>
        <w:pStyle w:val="TextBody"/>
        <w:bidi w:val="0"/>
        <w:spacing w:lineRule="auto" w:line="288" w:before="0" w:after="160"/>
        <w:jc w:val="left"/>
        <w:rPr>
          <w:rFonts w:ascii="Frutiger LT 45 Light;sans-serif" w:hAnsi="Frutiger LT 45 Light;sans-serif"/>
          <w:b/>
          <w:i/>
          <w:color w:val="000000"/>
          <w:sz w:val="20"/>
        </w:rPr>
      </w:pPr>
      <w:r>
        <w:rPr>
          <w:rFonts w:ascii="Frutiger LT 45 Light;sans-serif" w:hAnsi="Frutiger LT 45 Light;sans-serif"/>
          <w:b/>
          <w:i/>
          <w:color w:val="000000"/>
          <w:sz w:val="20"/>
        </w:rPr>
        <w:t>Financing activities</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Financing activities from continuing operations used $54.4 million and $12.9 million of cash for the six months ended June 30, 2026 and 2025. Outflows were primarily due to the $42.9 million of repurchased Class A common stock under our share repurchase program, $5.3 million increase in distributions to members, and $0.6 million increase in payments of deferred acquisition payables. The financing outflows are offset by the following inflows of $6.2 million due to net increase in carrier liabilities and $1.1 million decrease related to tax withholding on vesting of equity awards for the three months ended June 30, 2026.</w:t>
      </w:r>
    </w:p>
    <w:p>
      <w:pPr>
        <w:pStyle w:val="TextBody"/>
        <w:bidi w:val="0"/>
        <w:spacing w:lineRule="auto" w:line="288" w:before="0" w:after="160"/>
        <w:jc w:val="left"/>
        <w:rPr>
          <w:rFonts w:ascii="Frutiger LT 45 Light;sans-serif" w:hAnsi="Frutiger LT 45 Light;sans-serif"/>
          <w:b/>
          <w:i/>
          <w:color w:val="000000"/>
          <w:sz w:val="20"/>
        </w:rPr>
      </w:pPr>
      <w:r>
        <w:rPr>
          <w:rFonts w:ascii="Frutiger LT 45 Light;sans-serif" w:hAnsi="Frutiger LT 45 Light;sans-serif"/>
          <w:b/>
          <w:i/>
          <w:color w:val="000000"/>
          <w:sz w:val="20"/>
        </w:rPr>
        <w:t>Future sources and uses of liquidity</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 xml:space="preserve">Our sources of liquidity include (1) cash on hand, (2) net working capital, (3) cash flows from operations and (4) borrowings on our Credit Agreements. We expect that our primary liquidity needs will comprise of cash needed to (1) provide capital to facilitate the organic growth of our business, (2) pay operating expenses, including cash compensation to our independent agents and our employees, (3) make payments under the Tax Receivable Agreement, (4) fund acquisitions, (5) pay interest and principal due on borrowings under our Credit Agreements and (6) pay income taxes. We expect to have sufficient financial resources to meet our business requirements over the next 12 months and for the long-term, including the ability to service our debt and contractual obligations, finance capital expenditures and make distributions, including tax distributions, to our stockholders. Although cash from operations is expected to be sufficient to service these activities, we have the ability to borrow under our Credit Agreements to accommodate any timing differences in cash flows. Additionally, we may in the future access the capital markets to obtain equity or debt financing, if needed, including to pursue acquisition opportunities. </w:t>
      </w:r>
    </w:p>
    <w:p>
      <w:pPr>
        <w:pStyle w:val="TextBody"/>
        <w:bidi w:val="0"/>
        <w:spacing w:lineRule="auto" w:line="288" w:before="0" w:after="160"/>
        <w:jc w:val="left"/>
        <w:rPr/>
      </w:pPr>
      <w:r>
        <w:rPr>
          <w:rFonts w:ascii="Frutiger LT 45 Light;sans-serif" w:hAnsi="Frutiger LT 45 Light;sans-serif"/>
          <w:b w:val="false"/>
          <w:color w:val="000000"/>
          <w:sz w:val="20"/>
        </w:rPr>
        <w:t>We hav</w:t>
      </w:r>
      <w:r>
        <w:rPr>
          <w:rFonts w:ascii="Frutiger LT 45 Light;sans-serif" w:hAnsi="Frutiger LT 45 Light;sans-serif"/>
          <w:b w:val="false"/>
          <w:color w:val="000000"/>
          <w:sz w:val="20"/>
          <w:shd w:fill="FFFFFF" w:val="clear"/>
        </w:rPr>
        <w:t xml:space="preserve">e certain obligations related to debt maturities and operating leases. As of </w:t>
      </w:r>
      <w:r>
        <w:rPr>
          <w:rFonts w:ascii="Frutiger LT 45 Light;sans-serif" w:hAnsi="Frutiger LT 45 Light;sans-serif"/>
          <w:b w:val="false"/>
          <w:color w:val="000000"/>
          <w:sz w:val="20"/>
        </w:rPr>
        <w:t>June 30, 2026</w:t>
      </w:r>
      <w:r>
        <w:rPr>
          <w:rFonts w:ascii="Frutiger LT 45 Light;sans-serif" w:hAnsi="Frutiger LT 45 Light;sans-serif"/>
          <w:b w:val="false"/>
          <w:color w:val="000000"/>
          <w:sz w:val="20"/>
          <w:shd w:fill="FFFFFF" w:val="clear"/>
        </w:rPr>
        <w:t xml:space="preserve">, we had </w:t>
      </w:r>
      <w:r>
        <w:rPr>
          <w:rFonts w:ascii="Frutiger LT 45 Light;sans-serif" w:hAnsi="Frutiger LT 45 Light;sans-serif"/>
          <w:b w:val="false"/>
          <w:color w:val="000000"/>
          <w:sz w:val="20"/>
        </w:rPr>
        <w:t>$1.2 million</w:t>
      </w:r>
      <w:r>
        <w:rPr>
          <w:color w:val="000000"/>
          <w:shd w:fill="FFFFFF" w:val="clear"/>
        </w:rPr>
        <w:t xml:space="preserve"> </w:t>
      </w:r>
      <w:r>
        <w:rPr>
          <w:rFonts w:ascii="Frutiger LT 45 Light;sans-serif" w:hAnsi="Frutiger LT 45 Light;sans-serif"/>
          <w:b w:val="false"/>
          <w:color w:val="000000"/>
          <w:sz w:val="20"/>
          <w:shd w:fill="FFFFFF" w:val="clear"/>
        </w:rPr>
        <w:t>of non-cancela</w:t>
      </w:r>
      <w:r>
        <w:rPr>
          <w:rFonts w:ascii="Frutiger LT 45 Light;sans-serif" w:hAnsi="Frutiger LT 45 Light;sans-serif"/>
          <w:b w:val="false"/>
          <w:color w:val="000000"/>
          <w:sz w:val="20"/>
        </w:rPr>
        <w:t xml:space="preserve">ble operating lease obligations for the next 12 months. For the periods following the next 12 months, we have an additional $3.4 million of non-cancelable operating lease obligations. In addition, as of June 30, 2026, we had $8.8 million of debt maturities for the next 12 months comprised of $2.0 million of the remaining balance under the Term Loan C, and $0.5 million in acquisition-related notes, and $6.3 million of acquisition-related payables. For the periods following the next 12 months, we have an additional $1.4 million of debt maturities representing $1.0 million under the Term Loan C, $0.3 million in acquisition-related notes, and zero of acquisition-related payables. As of June 30, 2026, there was no outstanding balances under our Revolving Facility. In the future, any outstanding balances under our Revolving Facility, if any, will become due and payable during 2028. </w:t>
      </w:r>
      <w:r>
        <w:rPr>
          <w:rFonts w:ascii="Frutiger LT 45 Light;sans-serif" w:hAnsi="Frutiger LT 45 Light;sans-serif"/>
          <w:b w:val="false"/>
          <w:i/>
          <w:color w:val="000000"/>
          <w:sz w:val="20"/>
        </w:rPr>
        <w:t>See Note 6 Debt to our Condensed Consolidated Financial Statements included elsewhere in this Quarterly Report for additional information.</w:t>
      </w:r>
    </w:p>
    <w:p>
      <w:pPr>
        <w:pStyle w:val="TextBody"/>
        <w:bidi w:val="0"/>
        <w:spacing w:lineRule="auto" w:line="288" w:before="0" w:after="160"/>
        <w:jc w:val="left"/>
        <w:rPr>
          <w:rFonts w:ascii="Frutiger LT 45 Light;sans-serif" w:hAnsi="Frutiger LT 45 Light;sans-serif"/>
          <w:b/>
          <w:i/>
          <w:color w:val="000000"/>
          <w:sz w:val="20"/>
        </w:rPr>
      </w:pPr>
      <w:r>
        <w:rPr>
          <w:rFonts w:ascii="Frutiger LT 45 Light;sans-serif" w:hAnsi="Frutiger LT 45 Light;sans-serif"/>
          <w:b/>
          <w:i/>
          <w:color w:val="000000"/>
          <w:sz w:val="20"/>
        </w:rPr>
        <w:t>Off-balance sheet arrangements</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We do not invest in any off-balance sheet vehicles that provide liquidity, capital resources, market or credit risk support, or engage in any activities that expose us to any liability that is not reflected in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45 Light;sans-serif" w:hAnsi="Frutiger LT 45 Light;sans-serif"/>
          <w:b/>
          <w:color w:val="000000"/>
          <w:sz w:val="24"/>
        </w:rPr>
      </w:pPr>
      <w:r>
        <w:rPr>
          <w:rFonts w:ascii="Frutiger LT 45 Light;sans-serif" w:hAnsi="Frutiger LT 45 Light;sans-serif"/>
          <w:b/>
          <w:color w:val="000000"/>
          <w:sz w:val="24"/>
        </w:rPr>
        <w:t>Critical accounting estimates</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We prepare our Condensed Consolidated Financial Statements in accordance with GAAP. In applying many of these accounting principles, we need to make assumptions, estimates or judgments that affect the reported amounts of assets, liabilities, revenues, and expenses in our Condensed Consolidated Financial Statements. We base our estimates and judgments on historical experience and other assumptions that we believe are reasonable under the circumstances. These assumptions, estimates or judgments; however, are both subjective and subject to change, and actual results may differ from our assumptions and estimates. If actual amounts are ultimately different from our estimates, the revisions are included in our results of operations for the period in which the actual amounts become known. We believe our significant accounting policies could potentially produce materially different results if we were to change underlying assumptions, estimates or judgments. The accounting policies that we believe reflect our more significant estimates, judgments and assumptions that are most critical to understanding and evaluating our reported financial results are: revenue recognition, intangible assets impairment, and income taxes.</w:t>
      </w:r>
    </w:p>
    <w:p>
      <w:pPr>
        <w:pStyle w:val="TextBody"/>
        <w:bidi w:val="0"/>
        <w:spacing w:lineRule="auto" w:line="288" w:before="0" w:after="160"/>
        <w:jc w:val="left"/>
        <w:rPr/>
      </w:pPr>
      <w:r>
        <w:rPr>
          <w:rFonts w:ascii="Frutiger LT 45 Light;sans-serif" w:hAnsi="Frutiger LT 45 Light;sans-serif"/>
          <w:b w:val="false"/>
          <w:color w:val="000000"/>
          <w:sz w:val="20"/>
          <w:shd w:fill="FFFFFF" w:val="clear"/>
        </w:rPr>
        <w:t xml:space="preserve">There have been no material changes in our critical accounting policies during the </w:t>
      </w:r>
      <w:r>
        <w:rPr>
          <w:rFonts w:ascii="Frutiger LT 45 Light;sans-serif" w:hAnsi="Frutiger LT 45 Light;sans-serif"/>
          <w:b w:val="false"/>
          <w:color w:val="000000"/>
          <w:sz w:val="20"/>
        </w:rPr>
        <w:t>six months ended June 30, 2026</w:t>
      </w:r>
      <w:r>
        <w:rPr>
          <w:color w:val="000000"/>
          <w:shd w:fill="FFFFFF" w:val="clear"/>
        </w:rPr>
        <w:t xml:space="preserve"> </w:t>
      </w:r>
      <w:r>
        <w:rPr>
          <w:rFonts w:ascii="Frutiger LT 45 Light;sans-serif" w:hAnsi="Frutiger LT 45 Light;sans-serif"/>
          <w:b w:val="false"/>
          <w:color w:val="000000"/>
          <w:sz w:val="20"/>
          <w:shd w:fill="FFFFFF" w:val="clear"/>
        </w:rPr>
        <w:t>as compared to those disclosed in “Item 7. Management’s Discussion and Analysis of Financial Condition and Results of Operations Critical Accounting Policies and Estimates” of our Annual Report other than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7955"/>
                <wp:effectExtent l="0" t="0" r="0" b="0"/>
                <wp:wrapNone/>
                <wp:docPr id="44" name="Frame4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32</w:t>
                      </w:r>
                    </w:p>
                  </w:txbxContent>
                </v:textbox>
                <w10:wrap type="none"/>
              </v:rect>
            </w:pict>
          </mc:Fallback>
        </mc:AlternateContent>
      </w:r>
    </w:p>
    <w:p>
      <w:pPr>
        <w:pStyle w:val="TextBody"/>
        <w:bidi w:val="0"/>
        <w:spacing w:lineRule="auto" w:line="288" w:before="0" w:after="160"/>
        <w:jc w:val="left"/>
        <w:rPr/>
      </w:pPr>
      <w:hyperlink w:anchor="i54bb4eec0dab4063b7a5a162c0b6d974_7">
        <w:r>
          <w:rPr>
            <w:rStyle w:val="InternetLink"/>
          </w:rPr>
          <w:t xml:space="preserve">Table </w:t>
        </w:r>
      </w:hyperlink>
      <w:hyperlink w:anchor="i54bb4eec0dab4063b7a5a162c0b6d974_7">
        <w:r>
          <w:rPr>
            <w:rStyle w:val="InternetLink"/>
          </w:rPr>
          <w:t>of</w:t>
        </w:r>
      </w:hyperlink>
      <w:hyperlink w:anchor="i54bb4eec0dab4063b7a5a162c0b6d974_7">
        <w:r>
          <w:rPr>
            <w:rStyle w:val="InternetLink"/>
          </w:rPr>
          <w:t xml:space="preserve"> Contents</w:t>
        </w:r>
      </w:hyperlink>
    </w:p>
    <w:p>
      <w:pPr>
        <w:pStyle w:val="TextBody"/>
        <w:bidi w:val="0"/>
        <w:spacing w:lineRule="auto" w:line="288" w:before="0" w:after="160"/>
        <w:jc w:val="left"/>
        <w:rPr>
          <w:rFonts w:ascii="Frutiger LT 45 Light;sans-serif" w:hAnsi="Frutiger LT 45 Light;sans-serif"/>
          <w:b/>
          <w:color w:val="000000"/>
          <w:sz w:val="24"/>
        </w:rPr>
      </w:pPr>
      <w:r>
        <w:rPr>
          <w:rFonts w:ascii="Frutiger LT 45 Light;sans-serif" w:hAnsi="Frutiger LT 45 Light;sans-serif"/>
          <w:b/>
          <w:color w:val="000000"/>
          <w:sz w:val="24"/>
        </w:rPr>
        <w:t>Recent accounting pronouncements</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For a description of our recently adopted accounting pronouncements and recently issued accounting standards not yet adopted, see Note 2 Summary of Significant Accounting Policies, to our Condensed Consolidated Financial Statements included elsewhere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45 Light;sans-serif" w:hAnsi="Frutiger LT 45 Light;sans-serif"/>
          <w:b/>
          <w:color w:val="000000"/>
          <w:sz w:val="24"/>
        </w:rPr>
      </w:pPr>
      <w:r>
        <w:rPr>
          <w:rFonts w:ascii="Frutiger LT 45 Light;sans-serif" w:hAnsi="Frutiger LT 45 Light;sans-serif"/>
          <w:b/>
          <w:color w:val="000000"/>
          <w:sz w:val="24"/>
        </w:rPr>
        <w:t>Emerging growth company</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 xml:space="preserve">We are an “emerging growth company,” as defined in the Jumpstart Our Business Startups Act of 2012 (the “JOBS Act”), and we may remain an emerging growth company for up to five years following the IPO. For so long as we remain an emerging growth company, we are permitted and intend to rely on certain exemptions from various public company reporting requirements, including not being required to have our internal control over financial reporting audited by our independent registered public accounting firm pursuant to Section 404 of the Sarbanes-Oxley Act, reduced disclosure obligations regarding executive compensation, and exemptions from the requirements of holding a nonbinding advisory vote on executive compensation and any golden parachute payments not previously approved. </w:t>
      </w:r>
    </w:p>
    <w:p>
      <w:pPr>
        <w:pStyle w:val="TextBody"/>
        <w:bidi w:val="0"/>
        <w:spacing w:lineRule="auto" w:line="288" w:before="0" w:after="160"/>
        <w:jc w:val="left"/>
        <w:rPr/>
      </w:pPr>
      <w:r>
        <w:rPr>
          <w:rFonts w:ascii="Frutiger LT 45 Light;sans-serif" w:hAnsi="Frutiger LT 45 Light;sans-serif"/>
          <w:b w:val="false"/>
          <w:color w:val="000000"/>
          <w:sz w:val="20"/>
        </w:rPr>
        <w:t>Under the JOBS Act, emerging growth companies can delay adopting new or revised accounting standards issued after the enactment of the JOBS Act unti</w:t>
      </w:r>
      <w:r>
        <w:rPr>
          <w:rFonts w:ascii="Frutiger LT 45 Light;sans-serif" w:hAnsi="Frutiger LT 45 Light;sans-serif"/>
          <w:b w:val="false"/>
          <w:color w:val="000000"/>
          <w:sz w:val="20"/>
          <w:shd w:fill="FFFFFF" w:val="clear"/>
        </w:rPr>
        <w:t>l such time as those standards apply to private companies. We have elected to use this extended transition period for complying with certain new or revised accounting standards that have different effective dates for public and private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45 Light;sans-serif" w:hAnsi="Frutiger LT 45 Light;sans-serif"/>
          <w:b/>
          <w:color w:val="000000"/>
          <w:sz w:val="24"/>
        </w:rPr>
      </w:pPr>
      <w:r>
        <w:rPr>
          <w:rFonts w:ascii="Frutiger LT 45 Light;sans-serif" w:hAnsi="Frutiger LT 45 Light;sans-serif"/>
          <w:b/>
          <w:color w:val="000000"/>
          <w:sz w:val="24"/>
        </w:rPr>
        <w:t>Item 3. Quantitative and Qualitative Disclosures About Market Risk</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Market risk is the potential loss arising from adverse changes in market rates and prices, such as premium amounts, interest rates, and equity prices. We are exposed to market risk through our Book of Business, investments, and borrowings under our Credit Agreements. We use derivative instruments to mitigate our risk related to the effect of rising interest rates on our cash flows. However, we do not use derivative instruments for trading or speculative purposes.</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Insurance premium pricing within the P&amp;C insurance industry has historically been cyclical, based on the underwriting capacity of the insurance industry and economic conditions. External events, such as terrorist attacks, man-made and natural disasters, can also have significant impacts on the insurance market. We use the terms “soft market” and “hard market” to describe the business cycles experienced by the industry. A soft market is an insurance market characterized by a period of declining premium rates, which can negatively affect commissions earned by insurance agents. A hard market is an insurance market characterized by a period of rising premium rates, which, absent other changes, can positively affect commissions earned by insurance agents.</w:t>
      </w:r>
    </w:p>
    <w:p>
      <w:pPr>
        <w:pStyle w:val="TextBody"/>
        <w:bidi w:val="0"/>
        <w:spacing w:lineRule="auto" w:line="288" w:before="0" w:after="160"/>
        <w:jc w:val="left"/>
        <w:rPr/>
      </w:pPr>
      <w:r>
        <w:rPr>
          <w:rFonts w:ascii="Frutiger LT 45 Light;sans-serif" w:hAnsi="Frutiger LT 45 Light;sans-serif"/>
          <w:b w:val="false"/>
          <w:color w:val="000000"/>
          <w:sz w:val="20"/>
        </w:rPr>
        <w:t>Our investments are held p</w:t>
      </w:r>
      <w:r>
        <w:rPr>
          <w:rFonts w:ascii="Frutiger LT 45 Light;sans-serif" w:hAnsi="Frutiger LT 45 Light;sans-serif"/>
          <w:b w:val="false"/>
          <w:color w:val="000000"/>
          <w:sz w:val="20"/>
          <w:shd w:fill="FFFFFF" w:val="clear"/>
        </w:rPr>
        <w:t xml:space="preserve">rimarily as cash and cash equivalents. These investments are subject to interest rate risk. The fair values of cash and cash equivalents as of </w:t>
      </w:r>
      <w:r>
        <w:rPr>
          <w:rFonts w:ascii="Frutiger LT 45 Light;sans-serif" w:hAnsi="Frutiger LT 45 Light;sans-serif"/>
          <w:b w:val="false"/>
          <w:color w:val="000000"/>
          <w:sz w:val="20"/>
        </w:rPr>
        <w:t>June 30, 2026</w:t>
      </w:r>
      <w:r>
        <w:rPr>
          <w:color w:val="000000"/>
          <w:shd w:fill="FFFFFF" w:val="clear"/>
        </w:rPr>
        <w:t xml:space="preserve"> </w:t>
      </w:r>
      <w:r>
        <w:rPr>
          <w:rFonts w:ascii="Frutiger LT 45 Light;sans-serif" w:hAnsi="Frutiger LT 45 Light;sans-serif"/>
          <w:b w:val="false"/>
          <w:color w:val="000000"/>
          <w:sz w:val="20"/>
          <w:shd w:fill="FFFFFF" w:val="clear"/>
        </w:rPr>
        <w:t xml:space="preserve">and </w:t>
      </w:r>
      <w:r>
        <w:rPr>
          <w:rFonts w:ascii="Frutiger LT 45 Light;sans-serif" w:hAnsi="Frutiger LT 45 Light;sans-serif"/>
          <w:b w:val="false"/>
          <w:color w:val="000000"/>
          <w:sz w:val="20"/>
        </w:rPr>
        <w:t>December 31, 2025</w:t>
      </w:r>
      <w:r>
        <w:rPr>
          <w:color w:val="000000"/>
          <w:shd w:fill="FFFFFF" w:val="clear"/>
        </w:rPr>
        <w:t xml:space="preserve"> </w:t>
      </w:r>
      <w:r>
        <w:rPr>
          <w:rFonts w:ascii="Frutiger LT 45 Light;sans-serif" w:hAnsi="Frutiger LT 45 Light;sans-serif"/>
          <w:b w:val="false"/>
          <w:color w:val="000000"/>
          <w:sz w:val="20"/>
          <w:shd w:fill="FFFFFF" w:val="clear"/>
        </w:rPr>
        <w:t>approximated their respective carrying values due to their short-term duration and therefore, such market risk is not considered to be material. We do not actively invest or trade in equity securities.</w:t>
      </w:r>
    </w:p>
    <w:p>
      <w:pPr>
        <w:pStyle w:val="TextBody"/>
        <w:bidi w:val="0"/>
        <w:spacing w:lineRule="auto" w:line="288" w:before="0" w:after="160"/>
        <w:jc w:val="left"/>
        <w:rPr/>
      </w:pPr>
      <w:r>
        <w:rPr>
          <w:rFonts w:ascii="Frutiger LT 45 Light;sans-serif" w:hAnsi="Frutiger LT 45 Light;sans-serif"/>
          <w:b w:val="false"/>
          <w:color w:val="000000"/>
          <w:sz w:val="20"/>
        </w:rPr>
        <w:t>As of June 30, 2026, we had $92.8 million in cash and cash equivalents, and restricted cash, which earned interest income of $2.0 million for the six months ended June 30, 2026. The impact of a hypothetical 100 basis point change in interest rates would have reduced/increased interest income by</w:t>
      </w:r>
      <w:r>
        <w:rPr>
          <w:color w:val="000000"/>
          <w:shd w:fill="FFFFFF" w:val="clear"/>
        </w:rPr>
        <w:t xml:space="preserve"> </w:t>
      </w:r>
      <w:r>
        <w:rPr>
          <w:rFonts w:ascii="Frutiger LT 45 Light;sans-serif" w:hAnsi="Frutiger LT 45 Light;sans-serif"/>
          <w:b w:val="false"/>
          <w:color w:val="000000"/>
          <w:sz w:val="20"/>
        </w:rPr>
        <w:t>$0.2 million in the Condensed Consolidated Statements of Income.</w:t>
      </w:r>
    </w:p>
    <w:p>
      <w:pPr>
        <w:pStyle w:val="TextBody"/>
        <w:bidi w:val="0"/>
        <w:spacing w:lineRule="auto" w:line="288" w:before="0" w:after="160"/>
        <w:jc w:val="left"/>
        <w:rPr/>
      </w:pPr>
      <w:r>
        <w:rPr>
          <w:rFonts w:ascii="Frutiger LT 45 Light;sans-serif" w:hAnsi="Frutiger LT 45 Light;sans-serif"/>
          <w:b w:val="false"/>
          <w:color w:val="000000"/>
          <w:sz w:val="20"/>
        </w:rPr>
        <w:t>As of June 30, 2026, we had approxi</w:t>
      </w:r>
      <w:r>
        <w:rPr>
          <w:rFonts w:ascii="Frutiger LT 45 Light;sans-serif" w:hAnsi="Frutiger LT 45 Light;sans-serif"/>
          <w:b w:val="false"/>
          <w:color w:val="000000"/>
          <w:sz w:val="20"/>
          <w:shd w:fill="FFFFFF" w:val="clear"/>
        </w:rPr>
        <w:t xml:space="preserve">mately </w:t>
      </w:r>
      <w:r>
        <w:rPr>
          <w:rFonts w:ascii="Frutiger LT 45 Light;sans-serif" w:hAnsi="Frutiger LT 45 Light;sans-serif"/>
          <w:b w:val="false"/>
          <w:color w:val="000000"/>
          <w:sz w:val="20"/>
        </w:rPr>
        <w:t>$3.0 million</w:t>
      </w:r>
      <w:r>
        <w:rPr>
          <w:color w:val="000000"/>
          <w:shd w:fill="FFFFFF" w:val="clear"/>
        </w:rPr>
        <w:t xml:space="preserve"> </w:t>
      </w:r>
      <w:r>
        <w:rPr>
          <w:rFonts w:ascii="Frutiger LT 45 Light;sans-serif" w:hAnsi="Frutiger LT 45 Light;sans-serif"/>
          <w:b w:val="false"/>
          <w:color w:val="000000"/>
          <w:sz w:val="20"/>
          <w:shd w:fill="FFFFFF" w:val="clear"/>
        </w:rPr>
        <w:t>of borrowings outstanding un</w:t>
      </w:r>
      <w:r>
        <w:rPr>
          <w:rFonts w:ascii="Frutiger LT 45 Light;sans-serif" w:hAnsi="Frutiger LT 45 Light;sans-serif"/>
          <w:b w:val="false"/>
          <w:color w:val="000000"/>
          <w:sz w:val="20"/>
        </w:rPr>
        <w:t>der our Term Loan Credit Agreement. We repaid the outstanding balances of our Term Loan B and Revolving Facility in full as of June 30, 2024. As of December 31, 2025, we had approximatel</w:t>
      </w:r>
      <w:r>
        <w:rPr>
          <w:rFonts w:ascii="Frutiger LT 45 Light;sans-serif" w:hAnsi="Frutiger LT 45 Light;sans-serif"/>
          <w:b w:val="false"/>
          <w:color w:val="000000"/>
          <w:sz w:val="20"/>
          <w:shd w:fill="FFFFFF" w:val="clear"/>
        </w:rPr>
        <w:t xml:space="preserve">y </w:t>
      </w:r>
      <w:r>
        <w:rPr>
          <w:rFonts w:ascii="Frutiger LT 45 Light;sans-serif" w:hAnsi="Frutiger LT 45 Light;sans-serif"/>
          <w:b w:val="false"/>
          <w:color w:val="000000"/>
          <w:sz w:val="20"/>
        </w:rPr>
        <w:t>$4.0 million</w:t>
      </w:r>
      <w:r>
        <w:rPr>
          <w:color w:val="000000"/>
          <w:shd w:fill="FFFFFF" w:val="clear"/>
        </w:rPr>
        <w:t xml:space="preserve"> </w:t>
      </w:r>
      <w:r>
        <w:rPr>
          <w:rFonts w:ascii="Frutiger LT 45 Light;sans-serif" w:hAnsi="Frutiger LT 45 Light;sans-serif"/>
          <w:b w:val="false"/>
          <w:color w:val="000000"/>
          <w:sz w:val="20"/>
          <w:shd w:fill="FFFFFF" w:val="clear"/>
        </w:rPr>
        <w:t xml:space="preserve">and </w:t>
      </w:r>
      <w:r>
        <w:rPr>
          <w:rFonts w:ascii="Frutiger LT 45 Light;sans-serif" w:hAnsi="Frutiger LT 45 Light;sans-serif"/>
          <w:b w:val="false"/>
          <w:color w:val="000000"/>
          <w:sz w:val="20"/>
        </w:rPr>
        <w:t>zero</w:t>
      </w:r>
      <w:r>
        <w:rPr>
          <w:color w:val="000000"/>
          <w:shd w:fill="FFFFFF" w:val="clear"/>
        </w:rPr>
        <w:t xml:space="preserve"> </w:t>
      </w:r>
      <w:r>
        <w:rPr>
          <w:rFonts w:ascii="Frutiger LT 45 Light;sans-serif" w:hAnsi="Frutiger LT 45 Light;sans-serif"/>
          <w:b w:val="false"/>
          <w:color w:val="000000"/>
          <w:sz w:val="20"/>
        </w:rPr>
        <w:t>borrowings outstanding under our Term Loan Credit Agreement and Revolving Facility, respectively. These borrowings accrue interest tied to SOFR and therefore interest expense under these borrowings is subject to change. The effect of an immediate hypothetical 10% change in interest rates would not have a material effect on our Condensed Consolidated Financial Statements.</w:t>
      </w:r>
      <w:r>
        <w:rPr>
          <w:color w:val="000000"/>
        </w:rPr>
        <w:t xml:space="preserve"> </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7955"/>
                <wp:effectExtent l="0" t="0" r="0" b="0"/>
                <wp:wrapNone/>
                <wp:docPr id="45" name="Frame4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33</w:t>
                      </w:r>
                    </w:p>
                  </w:txbxContent>
                </v:textbox>
                <w10:wrap type="none"/>
              </v:rect>
            </w:pict>
          </mc:Fallback>
        </mc:AlternateContent>
      </w:r>
    </w:p>
    <w:p>
      <w:pPr>
        <w:pStyle w:val="TextBody"/>
        <w:bidi w:val="0"/>
        <w:spacing w:lineRule="auto" w:line="288" w:before="0" w:after="160"/>
        <w:jc w:val="left"/>
        <w:rPr/>
      </w:pPr>
      <w:hyperlink w:anchor="i54bb4eec0dab4063b7a5a162c0b6d974_7">
        <w:r>
          <w:rPr>
            <w:rStyle w:val="InternetLink"/>
          </w:rPr>
          <w:t xml:space="preserve">Table </w:t>
        </w:r>
      </w:hyperlink>
      <w:hyperlink w:anchor="i54bb4eec0dab4063b7a5a162c0b6d974_7">
        <w:r>
          <w:rPr>
            <w:rStyle w:val="InternetLink"/>
          </w:rPr>
          <w:t>of</w:t>
        </w:r>
      </w:hyperlink>
      <w:hyperlink w:anchor="i54bb4eec0dab4063b7a5a162c0b6d974_7">
        <w:r>
          <w:rPr>
            <w:rStyle w:val="InternetLink"/>
          </w:rPr>
          <w:t xml:space="preserve"> Contents</w:t>
        </w:r>
      </w:hyperlink>
    </w:p>
    <w:p>
      <w:pPr>
        <w:pStyle w:val="TextBody"/>
        <w:bidi w:val="0"/>
        <w:spacing w:lineRule="auto" w:line="288" w:before="0" w:after="160"/>
        <w:jc w:val="left"/>
        <w:rPr>
          <w:rFonts w:ascii="Frutiger LT 45 Light;sans-serif" w:hAnsi="Frutiger LT 45 Light;sans-serif"/>
          <w:b/>
          <w:color w:val="000000"/>
          <w:sz w:val="24"/>
        </w:rPr>
      </w:pPr>
      <w:r>
        <w:rPr>
          <w:rFonts w:ascii="Frutiger LT 45 Light;sans-serif" w:hAnsi="Frutiger LT 45 Light;sans-serif"/>
          <w:b/>
          <w:color w:val="000000"/>
          <w:sz w:val="24"/>
        </w:rPr>
        <w:t>Item 4. Controls and Procedures</w:t>
      </w:r>
    </w:p>
    <w:p>
      <w:pPr>
        <w:pStyle w:val="TextBody"/>
        <w:bidi w:val="0"/>
        <w:spacing w:lineRule="auto" w:line="288" w:before="0" w:after="160"/>
        <w:jc w:val="left"/>
        <w:rPr>
          <w:rFonts w:ascii="Frutiger LT 45 Light;sans-serif" w:hAnsi="Frutiger LT 45 Light;sans-serif"/>
          <w:b/>
          <w:i/>
          <w:color w:val="000000"/>
          <w:sz w:val="20"/>
        </w:rPr>
      </w:pPr>
      <w:r>
        <w:rPr>
          <w:rFonts w:ascii="Frutiger LT 45 Light;sans-serif" w:hAnsi="Frutiger LT 45 Light;sans-serif"/>
          <w:b/>
          <w:i/>
          <w:color w:val="000000"/>
          <w:sz w:val="20"/>
        </w:rPr>
        <w:t>Evaluation of Disclosure Controls and Procedures</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Our management, under the supervision and with the participation of our Principal Executive Officer (our Chief Executive Officer) and Principal Financial Officer (our Chief Financial Officer), has evaluated the effectiveness of our disclosure controls and procedures as of June 30, 2026.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Management recognizes that any disclosure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2026, our Principal Executive Officer and Principal Financial Officer concluded that, as of such date, our disclosure controls and procedures were effective at the reasonable assurance level.</w:t>
      </w:r>
    </w:p>
    <w:p>
      <w:pPr>
        <w:pStyle w:val="TextBody"/>
        <w:bidi w:val="0"/>
        <w:spacing w:lineRule="auto" w:line="288" w:before="0" w:after="160"/>
        <w:jc w:val="left"/>
        <w:rPr>
          <w:rFonts w:ascii="Frutiger LT 45 Light;sans-serif" w:hAnsi="Frutiger LT 45 Light;sans-serif"/>
          <w:b/>
          <w:i/>
          <w:color w:val="000000"/>
          <w:sz w:val="20"/>
        </w:rPr>
      </w:pPr>
      <w:r>
        <w:rPr>
          <w:rFonts w:ascii="Frutiger LT 45 Light;sans-serif" w:hAnsi="Frutiger LT 45 Light;sans-serif"/>
          <w:b/>
          <w:i/>
          <w:color w:val="000000"/>
          <w:sz w:val="20"/>
        </w:rPr>
        <w:t>Changes in Internal Control Over Financial Reporting</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No change in our internal control over financial reporting (as defined in Rules 13a-15(f) and 15d-15(f) under the Exchange Act) occurred during the six months ended June 30, 2026 that has materially affected, or is reasonably likely to materially affect, our internal control over financial reporting.</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7955"/>
                <wp:effectExtent l="0" t="0" r="0" b="0"/>
                <wp:wrapNone/>
                <wp:docPr id="46" name="Frame4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34</w:t>
                      </w:r>
                    </w:p>
                  </w:txbxContent>
                </v:textbox>
                <w10:wrap type="none"/>
              </v:rect>
            </w:pict>
          </mc:Fallback>
        </mc:AlternateContent>
      </w:r>
    </w:p>
    <w:p>
      <w:pPr>
        <w:pStyle w:val="TextBody"/>
        <w:bidi w:val="0"/>
        <w:spacing w:lineRule="auto" w:line="288" w:before="0" w:after="160"/>
        <w:jc w:val="left"/>
        <w:rPr/>
      </w:pPr>
      <w:hyperlink w:anchor="i54bb4eec0dab4063b7a5a162c0b6d974_7">
        <w:r>
          <w:rPr>
            <w:rStyle w:val="InternetLink"/>
          </w:rPr>
          <w:t xml:space="preserve">Table </w:t>
        </w:r>
      </w:hyperlink>
      <w:hyperlink w:anchor="i54bb4eec0dab4063b7a5a162c0b6d974_7">
        <w:r>
          <w:rPr>
            <w:rStyle w:val="InternetLink"/>
          </w:rPr>
          <w:t>of</w:t>
        </w:r>
      </w:hyperlink>
      <w:hyperlink w:anchor="i54bb4eec0dab4063b7a5a162c0b6d974_7">
        <w:r>
          <w:rPr>
            <w:rStyle w:val="InternetLink"/>
          </w:rPr>
          <w:t xml:space="preserve"> Contents</w:t>
        </w:r>
      </w:hyperlink>
    </w:p>
    <w:p>
      <w:pPr>
        <w:pStyle w:val="TextBody"/>
        <w:bidi w:val="0"/>
        <w:spacing w:lineRule="auto" w:line="288" w:before="0" w:after="160"/>
        <w:jc w:val="left"/>
        <w:rPr>
          <w:rFonts w:ascii="Frutiger LT 45 Light;sans-serif" w:hAnsi="Frutiger LT 45 Light;sans-serif"/>
          <w:b/>
          <w:color w:val="000000"/>
          <w:sz w:val="24"/>
        </w:rPr>
      </w:pPr>
      <w:r>
        <w:rPr>
          <w:rFonts w:ascii="Frutiger LT 45 Light;sans-serif" w:hAnsi="Frutiger LT 45 Light;sans-serif"/>
          <w:b/>
          <w:color w:val="000000"/>
          <w:sz w:val="24"/>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45 Light;sans-serif" w:hAnsi="Frutiger LT 45 Light;sans-serif"/>
          <w:b/>
          <w:color w:val="000000"/>
          <w:sz w:val="24"/>
        </w:rPr>
      </w:pPr>
      <w:r>
        <w:rPr>
          <w:rFonts w:ascii="Frutiger LT 45 Light;sans-serif" w:hAnsi="Frutiger LT 45 Light;sans-serif"/>
          <w:b/>
          <w:color w:val="000000"/>
          <w:sz w:val="24"/>
        </w:rPr>
        <w:t>Item 1. Legal Proceedings</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From time-to-time, we may be involved in various legal proceedings and subject to claims that arise in the ordinary course of business. Although the results of litigation and claims are inherently unpredictable and uncertain, we are not presently a party to any litigation the outcome of which, we believe, if determined adversely to us, would individually or taken together have a material adverse effect on our business, operating results, cash flows,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45 Light;sans-serif" w:hAnsi="Frutiger LT 45 Light;sans-serif"/>
          <w:b/>
          <w:color w:val="000000"/>
          <w:sz w:val="24"/>
        </w:rPr>
      </w:pPr>
      <w:r>
        <w:rPr>
          <w:rFonts w:ascii="Frutiger LT 45 Light;sans-serif" w:hAnsi="Frutiger LT 45 Light;sans-serif"/>
          <w:b/>
          <w:color w:val="000000"/>
          <w:sz w:val="24"/>
        </w:rPr>
        <w:t xml:space="preserve">Item 1A. Risk Factors </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There have been no material changes to the risk factors disclosed under Part I, Item 1A. Risk Factors in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45 Light;sans-serif" w:hAnsi="Frutiger LT 45 Light;sans-serif"/>
          <w:b/>
          <w:color w:val="000000"/>
          <w:sz w:val="24"/>
        </w:rPr>
      </w:pPr>
      <w:r>
        <w:rPr>
          <w:rFonts w:ascii="Frutiger LT 45 Light;sans-serif" w:hAnsi="Frutiger LT 45 Light;sans-serif"/>
          <w:b/>
          <w:color w:val="000000"/>
          <w:sz w:val="24"/>
        </w:rPr>
        <w:t xml:space="preserve">Item 2. Unregistered Sales of Equity Securities and Use of Proceeds </w:t>
      </w:r>
    </w:p>
    <w:p>
      <w:pPr>
        <w:pStyle w:val="TextBody"/>
        <w:bidi w:val="0"/>
        <w:spacing w:lineRule="auto" w:line="288" w:before="0" w:after="160"/>
        <w:jc w:val="left"/>
        <w:rPr>
          <w:rFonts w:ascii="Frutiger LT 45 Light;sans-serif" w:hAnsi="Frutiger LT 45 Light;sans-serif"/>
          <w:b/>
          <w:i/>
          <w:color w:val="000000"/>
          <w:sz w:val="20"/>
        </w:rPr>
      </w:pPr>
      <w:r>
        <w:rPr>
          <w:rFonts w:ascii="Frutiger LT 45 Light;sans-serif" w:hAnsi="Frutiger LT 45 Light;sans-serif"/>
          <w:b/>
          <w:i/>
          <w:color w:val="000000"/>
          <w:sz w:val="20"/>
        </w:rPr>
        <w:t>Sales of Unregistered Securities</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None.</w:t>
      </w:r>
    </w:p>
    <w:p>
      <w:pPr>
        <w:pStyle w:val="TextBody"/>
        <w:bidi w:val="0"/>
        <w:spacing w:lineRule="auto" w:line="288" w:before="0" w:after="160"/>
        <w:jc w:val="left"/>
        <w:rPr>
          <w:rFonts w:ascii="Frutiger LT 45 Light;sans-serif" w:hAnsi="Frutiger LT 45 Light;sans-serif"/>
          <w:b/>
          <w:i/>
          <w:color w:val="000000"/>
          <w:sz w:val="20"/>
        </w:rPr>
      </w:pPr>
      <w:r>
        <w:rPr>
          <w:rFonts w:ascii="Frutiger LT 45 Light;sans-serif" w:hAnsi="Frutiger LT 45 Light;sans-serif"/>
          <w:b/>
          <w:i/>
          <w:color w:val="000000"/>
          <w:sz w:val="20"/>
        </w:rPr>
        <w:t xml:space="preserve">Use of Proceeds </w:t>
      </w:r>
    </w:p>
    <w:p>
      <w:pPr>
        <w:pStyle w:val="TextBody"/>
        <w:bidi w:val="0"/>
        <w:spacing w:lineRule="auto" w:line="288" w:before="0" w:after="160"/>
        <w:jc w:val="left"/>
        <w:rPr/>
      </w:pPr>
      <w:r>
        <w:rPr>
          <w:rFonts w:ascii="Frutiger LT 45 Light;sans-serif" w:hAnsi="Frutiger LT 45 Light;sans-serif"/>
          <w:b w:val="false"/>
          <w:color w:val="000000"/>
          <w:sz w:val="20"/>
        </w:rPr>
        <w:t xml:space="preserve">We received approximately $192.9 million of net proceeds after deducting underwriting discounts and commissions of </w:t>
      </w:r>
      <w:r>
        <w:rPr>
          <w:rFonts w:ascii="Frutiger LT 45 Light;sans-serif" w:hAnsi="Frutiger LT 45 Light;sans-serif"/>
          <w:b w:val="false"/>
          <w:color w:val="000000"/>
          <w:sz w:val="20"/>
          <w:shd w:fill="FFFFFF" w:val="clear"/>
        </w:rPr>
        <w:t xml:space="preserve">$14.4 million </w:t>
      </w:r>
      <w:r>
        <w:rPr>
          <w:rFonts w:ascii="Frutiger LT 45 Light;sans-serif" w:hAnsi="Frutiger LT 45 Light;sans-serif"/>
          <w:b w:val="false"/>
          <w:color w:val="000000"/>
          <w:sz w:val="20"/>
        </w:rPr>
        <w:t>and related offering expenses of approximately $7.8 million from the IPO. We used the net proceeds from the IPO (including the net proceeds received from the underwriters’ exercise of their option to purchase additional shares of Class A Common Stock) to acquire a number of newly issued LLC Units equal to the number of shares of Class A Common Stock in the IPO from TWFG Holding, at a purchase price per LLC Unit equal to the initial public offering price of Class A Common Stock after underwriting discounts and commissions. TWFG Holding used a portion of the proceeds it received from the sale of LLC Units to pay the expenses in connection with the IPO and the Reorganization Transactions and to repay in full outstanding debt under our Revolving Facility in the amount of $41.0 million.</w:t>
      </w:r>
    </w:p>
    <w:p>
      <w:pPr>
        <w:pStyle w:val="TextBody"/>
        <w:bidi w:val="0"/>
        <w:spacing w:lineRule="auto" w:line="288" w:before="0" w:after="160"/>
        <w:jc w:val="left"/>
        <w:rPr>
          <w:rFonts w:ascii="Frutiger LT 45 Light;sans-serif" w:hAnsi="Frutiger LT 45 Light;sans-serif"/>
          <w:b/>
          <w:i/>
          <w:color w:val="000000"/>
          <w:sz w:val="20"/>
          <w:shd w:fill="FFFFFF" w:val="clear"/>
        </w:rPr>
      </w:pPr>
      <w:r>
        <w:rPr>
          <w:rFonts w:ascii="Frutiger LT 45 Light;sans-serif" w:hAnsi="Frutiger LT 45 Light;sans-serif"/>
          <w:b/>
          <w:i/>
          <w:color w:val="000000"/>
          <w:sz w:val="20"/>
          <w:shd w:fill="FFFFFF" w:val="clear"/>
        </w:rPr>
        <w:t xml:space="preserve">Issuer Purchases of Equity Securities </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On February 23, 2026, our Board approved a share repurchase program that authorizes the Company to repurchase up to $50 million of its outstanding Class A common stock. Share repurchases may be made from time-to-time on the open market, in privately negotiated transactions, using Rule 10b5-1 trading plans, or in any other manner that complies with the applicable securities law. The timing of purchases and number of shares repurchased under the program will depend upon a variety of factors including the Company’s stock price, trading volume, working capital or other liquidity requirements, and market conditions. The Company is not obligated to purchase any shares under the program and the program may be suspended or discontinued at any time without notice. As of June 30, 2026, the Company repurchased and retired 2,252,349 shares in the open market for a total cost of $43.3 million.</w:t>
      </w:r>
    </w:p>
    <w:tbl>
      <w:tblPr>
        <w:tblW w:w="10205" w:type="dxa"/>
        <w:jc w:val="left"/>
        <w:tblInd w:w="0" w:type="dxa"/>
        <w:tblLayout w:type="fixed"/>
        <w:tblCellMar>
          <w:top w:w="28" w:type="dxa"/>
          <w:left w:w="28" w:type="dxa"/>
          <w:bottom w:w="28" w:type="dxa"/>
          <w:right w:w="28" w:type="dxa"/>
        </w:tblCellMar>
      </w:tblPr>
      <w:tblGrid>
        <w:gridCol w:w="378"/>
        <w:gridCol w:w="332"/>
        <w:gridCol w:w="335"/>
        <w:gridCol w:w="109"/>
        <w:gridCol w:w="109"/>
        <w:gridCol w:w="109"/>
        <w:gridCol w:w="701"/>
        <w:gridCol w:w="488"/>
        <w:gridCol w:w="490"/>
        <w:gridCol w:w="109"/>
        <w:gridCol w:w="109"/>
        <w:gridCol w:w="109"/>
        <w:gridCol w:w="282"/>
        <w:gridCol w:w="824"/>
        <w:gridCol w:w="145"/>
        <w:gridCol w:w="109"/>
        <w:gridCol w:w="109"/>
        <w:gridCol w:w="109"/>
        <w:gridCol w:w="888"/>
        <w:gridCol w:w="725"/>
        <w:gridCol w:w="727"/>
        <w:gridCol w:w="109"/>
        <w:gridCol w:w="109"/>
        <w:gridCol w:w="109"/>
        <w:gridCol w:w="375"/>
        <w:gridCol w:w="1926"/>
        <w:gridCol w:w="281"/>
      </w:tblGrid>
      <w:tr>
        <w:trPr/>
        <w:tc>
          <w:tcPr>
            <w:tcW w:w="37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1045"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Period</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Total Number of Shares Purchased</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Average Price Paid per Share</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Total Number of Shares Purchased as Part of Publicly Announced Program</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Frutiger LT 45 Light;sans-serif" w:hAnsi="Frutiger LT 45 Light;sans-serif"/>
                <w:b/>
                <w:color w:val="000000"/>
                <w:sz w:val="16"/>
              </w:rPr>
              <w:t>Approximate Dollar Value of Shares that May Yet Be Purchased Under the Program</w:t>
            </w:r>
            <w:r>
              <w:rPr>
                <w:rFonts w:ascii="Frutiger LT 45 Light;sans-serif" w:hAnsi="Frutiger LT 45 Light;sans-serif"/>
                <w:b/>
                <w:color w:val="000000"/>
                <w:sz w:val="10"/>
              </w:rPr>
              <w:t>(1)</w:t>
            </w:r>
            <w:r>
              <w:rPr>
                <w:color w:val="000000"/>
              </w:rPr>
              <w:t xml:space="preserve"> </w:t>
            </w:r>
          </w:p>
        </w:tc>
      </w:tr>
      <w:tr>
        <w:trPr/>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March 6, 2026-March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872,397 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18.96 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872,397 </w:t>
            </w:r>
          </w:p>
        </w:tc>
        <w:tc>
          <w:tcPr>
            <w:tcW w:w="7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1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33,277,312 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April 1, 2026 - April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1,029,952 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19.00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1,029,952 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1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13,881,938 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May 1,2026 - May 12,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350,000 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19.26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350,000 </w:t>
            </w:r>
          </w:p>
        </w:tc>
        <w:tc>
          <w:tcPr>
            <w:tcW w:w="7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w:t>
            </w:r>
          </w:p>
        </w:tc>
        <w:tc>
          <w:tcPr>
            <w:tcW w:w="1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7,142,418 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16"/>
              </w:rPr>
            </w:pPr>
            <w:r>
              <w:rPr>
                <w:rFonts w:ascii="Frutiger LT 45 Light;sans-serif" w:hAnsi="Frutiger LT 45 Light;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2,252,349 </w:t>
            </w:r>
          </w:p>
        </w:tc>
        <w:tc>
          <w:tcPr>
            <w:tcW w:w="4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val="false"/>
                <w:color w:val="000000"/>
                <w:sz w:val="16"/>
              </w:rPr>
            </w:pPr>
            <w:r>
              <w:rPr>
                <w:rFonts w:ascii="Frutiger LT 45 Light;sans-serif" w:hAnsi="Frutiger LT 45 Light;sans-serif"/>
                <w:b w:val="false"/>
                <w:color w:val="000000"/>
                <w:sz w:val="16"/>
              </w:rPr>
              <w:t>2,252,349 </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Frutiger LT 45 Light;sans-serif" w:hAnsi="Frutiger LT 45 Light;sans-serif"/>
          <w:b/>
          <w:color w:val="000000"/>
          <w:sz w:val="13"/>
        </w:rPr>
        <w:t>(1)</w:t>
      </w:r>
      <w:r>
        <w:rPr>
          <w:color w:val="000000"/>
        </w:rPr>
        <w:t xml:space="preserve"> </w:t>
      </w:r>
      <w:r>
        <w:rPr>
          <w:rFonts w:ascii="Frutiger LT 55 Roman;sans-serif" w:hAnsi="Frutiger LT 55 Roman;sans-serif"/>
          <w:b w:val="false"/>
          <w:color w:val="000000"/>
          <w:sz w:val="15"/>
        </w:rPr>
        <w:t>Under a share repurchase program implemented effective February 23, 2026, the Company is authorized to repurchase up to $50 million of its outstanding Class A common stock. The repurchase program does not have an expiration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45 Light;sans-serif" w:hAnsi="Frutiger LT 45 Light;sans-serif"/>
          <w:b/>
          <w:color w:val="000000"/>
          <w:sz w:val="24"/>
        </w:rPr>
      </w:pPr>
      <w:r>
        <w:rPr>
          <w:rFonts w:ascii="Frutiger LT 45 Light;sans-serif" w:hAnsi="Frutiger LT 45 Light;sans-serif"/>
          <w:b/>
          <w:color w:val="000000"/>
          <w:sz w:val="24"/>
        </w:rPr>
        <w:t>Item 5. Other Information</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(a) None.</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(b) None.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7955"/>
                <wp:effectExtent l="0" t="0" r="0" b="0"/>
                <wp:wrapNone/>
                <wp:docPr id="47" name="Frame4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35</w:t>
                      </w:r>
                    </w:p>
                  </w:txbxContent>
                </v:textbox>
                <w10:wrap type="none"/>
              </v:rect>
            </w:pict>
          </mc:Fallback>
        </mc:AlternateContent>
      </w:r>
    </w:p>
    <w:p>
      <w:pPr>
        <w:pStyle w:val="TextBody"/>
        <w:bidi w:val="0"/>
        <w:spacing w:lineRule="auto" w:line="288" w:before="0" w:after="160"/>
        <w:jc w:val="left"/>
        <w:rPr/>
      </w:pPr>
      <w:hyperlink w:anchor="i54bb4eec0dab4063b7a5a162c0b6d974_7">
        <w:r>
          <w:rPr>
            <w:rStyle w:val="InternetLink"/>
          </w:rPr>
          <w:t xml:space="preserve">Table </w:t>
        </w:r>
      </w:hyperlink>
      <w:hyperlink w:anchor="i54bb4eec0dab4063b7a5a162c0b6d974_7">
        <w:r>
          <w:rPr>
            <w:rStyle w:val="InternetLink"/>
          </w:rPr>
          <w:t>of</w:t>
        </w:r>
      </w:hyperlink>
      <w:hyperlink w:anchor="i54bb4eec0dab4063b7a5a162c0b6d974_7">
        <w:r>
          <w:rPr>
            <w:rStyle w:val="InternetLink"/>
          </w:rPr>
          <w:t xml:space="preserve"> Contents</w:t>
        </w:r>
      </w:hyperlink>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(c) During the period covered by this Quarterly Report, none of the Company’s directors or officers adopted or terminated a “Rule 10b5-1 trading arrangement” or “non-Rule 10b5-1 trading arrangement,” as those terms are defined in Regulation S-K, Item 408, that was intended to satisfy the affirmative defense conditions of Rule 10b5-1(c).</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7955"/>
                <wp:effectExtent l="0" t="0" r="0" b="0"/>
                <wp:wrapNone/>
                <wp:docPr id="48" name="Frame4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54bb4eec0dab4063b7a5a162c0b6d974_7">
        <w:r>
          <w:rPr>
            <w:rStyle w:val="InternetLink"/>
          </w:rPr>
          <w:t xml:space="preserve">Table </w:t>
        </w:r>
      </w:hyperlink>
      <w:hyperlink w:anchor="i54bb4eec0dab4063b7a5a162c0b6d974_7">
        <w:r>
          <w:rPr>
            <w:rStyle w:val="InternetLink"/>
          </w:rPr>
          <w:t>of</w:t>
        </w:r>
      </w:hyperlink>
      <w:hyperlink w:anchor="i54bb4eec0dab4063b7a5a162c0b6d974_7">
        <w:r>
          <w:rPr>
            <w:rStyle w:val="InternetLink"/>
          </w:rPr>
          <w:t xml:space="preserve"> Contents</w:t>
        </w:r>
      </w:hyperlink>
    </w:p>
    <w:p>
      <w:pPr>
        <w:pStyle w:val="TextBody"/>
        <w:bidi w:val="0"/>
        <w:spacing w:lineRule="auto" w:line="288" w:before="0" w:after="0"/>
        <w:jc w:val="left"/>
        <w:rPr>
          <w:rFonts w:ascii="Frutiger LT 45 Light;sans-serif" w:hAnsi="Frutiger LT 45 Light;sans-serif"/>
          <w:b/>
          <w:color w:val="000000"/>
          <w:sz w:val="24"/>
          <w:shd w:fill="FFFFFF" w:val="clear"/>
        </w:rPr>
      </w:pPr>
      <w:r>
        <w:rPr>
          <w:rFonts w:ascii="Frutiger LT 45 Light;sans-serif" w:hAnsi="Frutiger LT 45 Light;sans-serif"/>
          <w:b/>
          <w:color w:val="000000"/>
          <w:sz w:val="24"/>
          <w:shd w:fill="FFFFFF" w:val="clear"/>
        </w:rPr>
        <w:t>Item 6. Exhibits</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The following exhibits are filed as part of this report:</w:t>
      </w:r>
    </w:p>
    <w:tbl>
      <w:tblPr>
        <w:tblW w:w="10205" w:type="dxa"/>
        <w:jc w:val="left"/>
        <w:tblInd w:w="0" w:type="dxa"/>
        <w:tblLayout w:type="fixed"/>
        <w:tblCellMar>
          <w:top w:w="28" w:type="dxa"/>
          <w:left w:w="28" w:type="dxa"/>
          <w:bottom w:w="28" w:type="dxa"/>
          <w:right w:w="28" w:type="dxa"/>
        </w:tblCellMar>
      </w:tblPr>
      <w:tblGrid>
        <w:gridCol w:w="437"/>
        <w:gridCol w:w="384"/>
        <w:gridCol w:w="386"/>
        <w:gridCol w:w="109"/>
        <w:gridCol w:w="109"/>
        <w:gridCol w:w="109"/>
        <w:gridCol w:w="2645"/>
        <w:gridCol w:w="2491"/>
        <w:gridCol w:w="3535"/>
      </w:tblGrid>
      <w:tr>
        <w:trPr/>
        <w:tc>
          <w:tcPr>
            <w:tcW w:w="43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3535" w:type="dxa"/>
            <w:tcBorders/>
            <w:vAlign w:val="center"/>
          </w:tcPr>
          <w:p>
            <w:pPr>
              <w:pStyle w:val="TableContents"/>
              <w:bidi w:val="0"/>
              <w:spacing w:before="0" w:after="283"/>
              <w:jc w:val="left"/>
              <w:rPr>
                <w:sz w:val="4"/>
                <w:szCs w:val="4"/>
              </w:rPr>
            </w:pPr>
            <w:r>
              <w:rPr>
                <w:sz w:val="4"/>
                <w:szCs w:val="4"/>
              </w:rPr>
            </w:r>
          </w:p>
        </w:tc>
      </w:tr>
      <w:tr>
        <w:trPr/>
        <w:tc>
          <w:tcPr>
            <w:tcW w:w="120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Exhibit number</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8"/>
              </w:rPr>
            </w:pPr>
            <w:r>
              <w:rPr>
                <w:rFonts w:ascii="Frutiger LT 45 Light;sans-serif" w:hAnsi="Frutiger LT 45 Light;sans-serif"/>
                <w:b/>
                <w:color w:val="000000"/>
                <w:sz w:val="18"/>
              </w:rPr>
              <w:t>Description</w:t>
            </w:r>
          </w:p>
        </w:tc>
      </w:tr>
      <w:tr>
        <w:trPr/>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Frutiger LT 45 Light;sans-serif" w:hAnsi="Frutiger LT 45 Light;sans-serif"/>
                  <w:b w:val="false"/>
                  <w:color w:val="0000FF"/>
                  <w:sz w:val="20"/>
                  <w:u w:val="single"/>
                </w:rPr>
                <w:t>Amended and Restated Certificate of Incorporation of TWFG, Inc., dated July 17, 2024 (incorporated by reference to Exhibit 3.1 to the Registrant’s Current Report on Form 8-K (File No. 001-42177) filed on July 23, 2024)</w:t>
              </w:r>
            </w:hyperlink>
          </w:p>
        </w:tc>
      </w:tr>
      <w:tr>
        <w:trPr/>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Frutiger LT 45 Light;sans-serif" w:hAnsi="Frutiger LT 45 Light;sans-serif"/>
                  <w:b w:val="false"/>
                  <w:color w:val="0000FF"/>
                  <w:sz w:val="20"/>
                  <w:u w:val="single"/>
                </w:rPr>
                <w:t>Amended and Restated By-Laws of TWFG, Inc., dated July 17, 2024 (incorporated by reference to Exhibit 3.2 to the Registrant’s Current Report on Form 8-K (File No. 001-42177) filed on July 23, 2024)</w:t>
              </w:r>
            </w:hyperlink>
          </w:p>
        </w:tc>
      </w:tr>
      <w:tr>
        <w:trPr/>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71" w:type="dxa"/>
            <w:gridSpan w:val="3"/>
            <w:tcBorders/>
            <w:vAlign w:val="center"/>
          </w:tcPr>
          <w:p>
            <w:pPr>
              <w:pStyle w:val="TableContents"/>
              <w:bidi w:val="0"/>
              <w:spacing w:before="0" w:after="283"/>
              <w:jc w:val="left"/>
              <w:rPr>
                <w:sz w:val="4"/>
                <w:szCs w:val="4"/>
              </w:rPr>
            </w:pPr>
            <w:r>
              <w:rPr>
                <w:sz w:val="4"/>
                <w:szCs w:val="4"/>
              </w:rPr>
            </w:r>
          </w:p>
        </w:tc>
      </w:tr>
      <w:tr>
        <w:trPr/>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71" w:type="dxa"/>
            <w:gridSpan w:val="3"/>
            <w:tcBorders/>
            <w:vAlign w:val="center"/>
          </w:tcPr>
          <w:p>
            <w:pPr>
              <w:pStyle w:val="TableContents"/>
              <w:bidi w:val="0"/>
              <w:spacing w:before="0" w:after="283"/>
              <w:jc w:val="left"/>
              <w:rPr>
                <w:sz w:val="4"/>
                <w:szCs w:val="4"/>
              </w:rPr>
            </w:pPr>
            <w:r>
              <w:rPr>
                <w:sz w:val="4"/>
                <w:szCs w:val="4"/>
              </w:rPr>
            </w:r>
          </w:p>
        </w:tc>
      </w:tr>
      <w:tr>
        <w:trPr/>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71" w:type="dxa"/>
            <w:gridSpan w:val="3"/>
            <w:tcBorders/>
            <w:vAlign w:val="center"/>
          </w:tcPr>
          <w:p>
            <w:pPr>
              <w:pStyle w:val="TableContents"/>
              <w:bidi w:val="0"/>
              <w:spacing w:before="0" w:after="283"/>
              <w:jc w:val="left"/>
              <w:rPr>
                <w:sz w:val="4"/>
                <w:szCs w:val="4"/>
              </w:rPr>
            </w:pPr>
            <w:r>
              <w:rPr>
                <w:sz w:val="4"/>
                <w:szCs w:val="4"/>
              </w:rPr>
            </w:r>
          </w:p>
        </w:tc>
      </w:tr>
      <w:tr>
        <w:trPr/>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71" w:type="dxa"/>
            <w:gridSpan w:val="3"/>
            <w:tcBorders/>
            <w:vAlign w:val="center"/>
          </w:tcPr>
          <w:p>
            <w:pPr>
              <w:pStyle w:val="TableContents"/>
              <w:bidi w:val="0"/>
              <w:spacing w:before="0" w:after="283"/>
              <w:jc w:val="left"/>
              <w:rPr>
                <w:sz w:val="4"/>
                <w:szCs w:val="4"/>
              </w:rPr>
            </w:pPr>
            <w:r>
              <w:rPr>
                <w:sz w:val="4"/>
                <w:szCs w:val="4"/>
              </w:rPr>
            </w:r>
          </w:p>
        </w:tc>
      </w:tr>
      <w:tr>
        <w:trPr/>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71" w:type="dxa"/>
            <w:gridSpan w:val="3"/>
            <w:tcBorders/>
            <w:vAlign w:val="center"/>
          </w:tcPr>
          <w:p>
            <w:pPr>
              <w:pStyle w:val="TableContents"/>
              <w:bidi w:val="0"/>
              <w:spacing w:before="0" w:after="283"/>
              <w:jc w:val="left"/>
              <w:rPr>
                <w:sz w:val="4"/>
                <w:szCs w:val="4"/>
              </w:rPr>
            </w:pPr>
            <w:r>
              <w:rPr>
                <w:sz w:val="4"/>
                <w:szCs w:val="4"/>
              </w:rPr>
            </w:r>
          </w:p>
        </w:tc>
      </w:tr>
      <w:tr>
        <w:trPr/>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71" w:type="dxa"/>
            <w:gridSpan w:val="3"/>
            <w:tcBorders/>
            <w:vAlign w:val="center"/>
          </w:tcPr>
          <w:p>
            <w:pPr>
              <w:pStyle w:val="TableContents"/>
              <w:bidi w:val="0"/>
              <w:spacing w:before="0" w:after="283"/>
              <w:jc w:val="left"/>
              <w:rPr>
                <w:sz w:val="4"/>
                <w:szCs w:val="4"/>
              </w:rPr>
            </w:pPr>
            <w:r>
              <w:rPr>
                <w:sz w:val="4"/>
                <w:szCs w:val="4"/>
              </w:rPr>
            </w:r>
          </w:p>
        </w:tc>
      </w:tr>
      <w:tr>
        <w:trPr/>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71" w:type="dxa"/>
            <w:gridSpan w:val="3"/>
            <w:tcBorders/>
            <w:vAlign w:val="center"/>
          </w:tcPr>
          <w:p>
            <w:pPr>
              <w:pStyle w:val="TableContents"/>
              <w:bidi w:val="0"/>
              <w:spacing w:before="0" w:after="283"/>
              <w:jc w:val="left"/>
              <w:rPr>
                <w:sz w:val="4"/>
                <w:szCs w:val="4"/>
              </w:rPr>
            </w:pPr>
            <w:r>
              <w:rPr>
                <w:sz w:val="4"/>
                <w:szCs w:val="4"/>
              </w:rPr>
            </w:r>
          </w:p>
        </w:tc>
      </w:tr>
      <w:tr>
        <w:trPr/>
        <w:tc>
          <w:tcPr>
            <w:tcW w:w="120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11certificationofp.htm">
              <w:r>
                <w:rPr>
                  <w:rStyle w:val="InternetLink"/>
                  <w:rFonts w:ascii="Frutiger LT 45 Light;sans-serif" w:hAnsi="Frutiger LT 45 Light;sans-serif"/>
                  <w:b w:val="false"/>
                  <w:color w:val="0000FF"/>
                  <w:sz w:val="20"/>
                  <w:u w:val="single"/>
                </w:rPr>
                <w:t>Certification of Principal Executive Officer Pursuant to Securities Exchange Act Rules 13a-14(a) and 15(d)-14(a), as adopted Pursuant to Section 302 of the Sarbanes-Oxley Act of 2002</w:t>
              </w:r>
            </w:hyperlink>
          </w:p>
        </w:tc>
      </w:tr>
      <w:tr>
        <w:trPr/>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12certificationofp.htm">
              <w:r>
                <w:rPr>
                  <w:rStyle w:val="InternetLink"/>
                  <w:rFonts w:ascii="Frutiger LT 45 Light;sans-serif" w:hAnsi="Frutiger LT 45 Light;sans-serif"/>
                  <w:b w:val="false"/>
                  <w:color w:val="0000FF"/>
                  <w:sz w:val="20"/>
                  <w:u w:val="single"/>
                </w:rPr>
                <w:t>Certification of Principal Financial Officer Pursuant to Securities Exchange Act Rules 13a-14(a) and 15(d)-14(a), as adopted Pursuant to Section 302 of the Sarbanes-Oxley Act of 2002</w:t>
              </w:r>
            </w:hyperlink>
          </w:p>
        </w:tc>
      </w:tr>
      <w:tr>
        <w:trPr/>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21certificationofp.htm">
              <w:r>
                <w:rPr>
                  <w:rStyle w:val="InternetLink"/>
                  <w:rFonts w:ascii="Frutiger LT 45 Light;sans-serif" w:hAnsi="Frutiger LT 45 Light;sans-serif"/>
                  <w:b w:val="false"/>
                  <w:color w:val="0000FF"/>
                  <w:sz w:val="20"/>
                  <w:u w:val="single"/>
                </w:rPr>
                <w:t>Certification of Principal Executive Officer Pursuant to 18 U.S.C. Section 1350, as adopted Pursuant to Section 906 of the Sarbanes-Oxley Act of 2002</w:t>
              </w:r>
            </w:hyperlink>
          </w:p>
        </w:tc>
      </w:tr>
      <w:tr>
        <w:trPr/>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22certificationofp.htm">
              <w:r>
                <w:rPr>
                  <w:rStyle w:val="InternetLink"/>
                  <w:rFonts w:ascii="Frutiger LT 45 Light;sans-serif" w:hAnsi="Frutiger LT 45 Light;sans-serif"/>
                  <w:b w:val="false"/>
                  <w:color w:val="0000FF"/>
                  <w:sz w:val="20"/>
                  <w:u w:val="single"/>
                </w:rPr>
                <w:t>Certification of Principal Financial Officer Pursuant to 18 U.S.C. Section 1350, as adopted Pursuant to Section 906 of the Sarbanes-Oxley Act of 2002</w:t>
              </w:r>
            </w:hyperlink>
          </w:p>
        </w:tc>
      </w:tr>
      <w:tr>
        <w:trPr/>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XBRL Instance Document- the instance document does not appear in the Interactive Data File because its XBRL tags are embedded within the Inline XBRL document</w:t>
            </w:r>
          </w:p>
        </w:tc>
      </w:tr>
      <w:tr>
        <w:trPr/>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XBRL Schema Document</w:t>
            </w:r>
          </w:p>
        </w:tc>
      </w:tr>
      <w:tr>
        <w:trPr/>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XBRL Calculation Linkbase Document</w:t>
            </w:r>
          </w:p>
        </w:tc>
      </w:tr>
      <w:tr>
        <w:trPr/>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XBRL Label Linkbase Document</w:t>
            </w:r>
          </w:p>
        </w:tc>
      </w:tr>
      <w:tr>
        <w:trPr/>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XBRL Presentation Linkbase Document</w:t>
            </w:r>
          </w:p>
        </w:tc>
      </w:tr>
      <w:tr>
        <w:trPr/>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XBRL Definition Linkbase Document</w:t>
            </w:r>
          </w:p>
        </w:tc>
      </w:tr>
      <w:tr>
        <w:trPr/>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Cover Page Interactive Data File (formatted as Inline XBRL)</w:t>
            </w:r>
          </w:p>
        </w:tc>
      </w:tr>
      <w:tr>
        <w:trPr/>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*Filed herewith.</w:t>
      </w:r>
    </w:p>
    <w:p>
      <w:pPr>
        <w:pStyle w:val="TextBody"/>
        <w:bidi w:val="0"/>
        <w:spacing w:lineRule="auto" w:line="288" w:before="0" w:after="0"/>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 Furnished.</w:t>
      </w:r>
    </w:p>
    <w:p>
      <w:pPr>
        <w:pStyle w:val="TextBody"/>
        <w:bidi w:val="0"/>
        <w:spacing w:lineRule="auto" w:line="288" w:before="0" w:after="160"/>
        <w:jc w:val="left"/>
        <w:rPr>
          <w:rFonts w:ascii="Frutiger LT 45 Light;sans-serif" w:hAnsi="Frutiger LT 45 Light;sans-serif"/>
          <w:b w:val="false"/>
          <w:color w:val="000000"/>
          <w:sz w:val="14"/>
        </w:rPr>
      </w:pPr>
      <w:r>
        <w:rPr>
          <w:rFonts w:ascii="Frutiger LT 45 Light;sans-serif" w:hAnsi="Frutiger LT 45 Light;sans-serif"/>
          <w:b w:val="false"/>
          <w:color w:val="000000"/>
          <w:sz w:val="14"/>
        </w:rPr>
        <w:t>+ Indicates a management contract or compensatory plan or agreement.</w:t>
      </w:r>
    </w:p>
    <w:p>
      <w:pPr>
        <w:pStyle w:val="TextBody"/>
        <w:bidi w:val="0"/>
        <w:spacing w:before="0" w:after="16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7955"/>
                <wp:effectExtent l="0" t="0" r="0" b="0"/>
                <wp:wrapNone/>
                <wp:docPr id="49" name="Frame4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37</w:t>
                      </w:r>
                    </w:p>
                  </w:txbxContent>
                </v:textbox>
                <w10:wrap type="none"/>
              </v:rect>
            </w:pict>
          </mc:Fallback>
        </mc:AlternateContent>
      </w:r>
    </w:p>
    <w:p>
      <w:pPr>
        <w:pStyle w:val="TextBody"/>
        <w:bidi w:val="0"/>
        <w:spacing w:lineRule="auto" w:line="288" w:before="0" w:after="160"/>
        <w:jc w:val="left"/>
        <w:rPr/>
      </w:pPr>
      <w:hyperlink w:anchor="i54bb4eec0dab4063b7a5a162c0b6d974_7">
        <w:r>
          <w:rPr>
            <w:rStyle w:val="InternetLink"/>
          </w:rPr>
          <w:t xml:space="preserve">Table </w:t>
        </w:r>
      </w:hyperlink>
      <w:hyperlink w:anchor="i54bb4eec0dab4063b7a5a162c0b6d974_7">
        <w:r>
          <w:rPr>
            <w:rStyle w:val="InternetLink"/>
          </w:rPr>
          <w:t>of</w:t>
        </w:r>
      </w:hyperlink>
      <w:hyperlink w:anchor="i54bb4eec0dab4063b7a5a162c0b6d974_7">
        <w:r>
          <w:rPr>
            <w:rStyle w:val="InternetLink"/>
          </w:rPr>
          <w:t xml:space="preserve"> Contents</w:t>
        </w:r>
      </w:hyperlink>
    </w:p>
    <w:p>
      <w:pPr>
        <w:pStyle w:val="TextBody"/>
        <w:bidi w:val="0"/>
        <w:spacing w:lineRule="auto" w:line="288" w:before="0" w:after="320"/>
        <w:jc w:val="center"/>
        <w:rPr>
          <w:rFonts w:ascii="Frutiger LT 45 Light;sans-serif" w:hAnsi="Frutiger LT 45 Light;sans-serif"/>
          <w:b/>
          <w:color w:val="000000"/>
          <w:sz w:val="32"/>
        </w:rPr>
      </w:pPr>
      <w:r>
        <w:rPr>
          <w:rFonts w:ascii="Frutiger LT 45 Light;sans-serif" w:hAnsi="Frutiger LT 45 Light;sans-serif"/>
          <w:b/>
          <w:color w:val="000000"/>
          <w:sz w:val="32"/>
        </w:rPr>
        <w:t>Signatures</w:t>
      </w:r>
    </w:p>
    <w:p>
      <w:pPr>
        <w:pStyle w:val="TextBody"/>
        <w:bidi w:val="0"/>
        <w:spacing w:lineRule="auto" w:line="288" w:before="0" w:after="1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 xml:space="preserve">Pursuant to the requirements of the Securities Exchange Act of 1934, the Registrant has duly caused this report to be signed on its behalf by the undersigned thereunto duly authorized. </w:t>
      </w:r>
    </w:p>
    <w:tbl>
      <w:tblPr>
        <w:tblW w:w="5725" w:type="dxa"/>
        <w:jc w:val="left"/>
        <w:tblInd w:w="0" w:type="dxa"/>
        <w:tblLayout w:type="fixed"/>
        <w:tblCellMar>
          <w:top w:w="28" w:type="dxa"/>
          <w:left w:w="28" w:type="dxa"/>
          <w:bottom w:w="28" w:type="dxa"/>
          <w:right w:w="28" w:type="dxa"/>
        </w:tblCellMar>
      </w:tblPr>
      <w:tblGrid>
        <w:gridCol w:w="782"/>
        <w:gridCol w:w="685"/>
        <w:gridCol w:w="692"/>
        <w:gridCol w:w="209"/>
        <w:gridCol w:w="209"/>
        <w:gridCol w:w="209"/>
        <w:gridCol w:w="849"/>
        <w:gridCol w:w="849"/>
        <w:gridCol w:w="1241"/>
      </w:tblGrid>
      <w:tr>
        <w:trPr/>
        <w:tc>
          <w:tcPr>
            <w:tcW w:w="7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20"/>
              </w:rPr>
            </w:pPr>
            <w:r>
              <w:rPr>
                <w:rFonts w:ascii="Frutiger LT 45 Light;sans-serif" w:hAnsi="Frutiger LT 45 Light;sans-serif"/>
                <w:b/>
                <w:color w:val="000000"/>
                <w:sz w:val="20"/>
              </w:rPr>
              <w:t>TWFG, Inc.</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Date: August 6, 2026</w:t>
            </w:r>
          </w:p>
        </w:tc>
        <w:tc>
          <w:tcPr>
            <w:tcW w:w="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By:</w:t>
            </w:r>
          </w:p>
        </w:tc>
        <w:tc>
          <w:tcPr>
            <w:tcW w:w="29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/s/ Richard F. Bunch III</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Name: Richard F. Bunch III</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Title: Chief Executive Officer</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i/>
                <w:color w:val="000000"/>
                <w:sz w:val="20"/>
              </w:rPr>
            </w:pPr>
            <w:r>
              <w:rPr>
                <w:rFonts w:ascii="Frutiger LT 45 Light;sans-serif" w:hAnsi="Frutiger LT 45 Light;sans-serif"/>
                <w:b w:val="false"/>
                <w:i/>
                <w:color w:val="000000"/>
                <w:sz w:val="20"/>
              </w:rPr>
              <w:t>(Principal Executive Officer)</w:t>
            </w:r>
          </w:p>
        </w:tc>
      </w:tr>
    </w:tbl>
    <w:tbl>
      <w:tblPr>
        <w:tblW w:w="5427" w:type="dxa"/>
        <w:jc w:val="left"/>
        <w:tblInd w:w="0" w:type="dxa"/>
        <w:tblLayout w:type="fixed"/>
        <w:tblCellMar>
          <w:top w:w="28" w:type="dxa"/>
          <w:left w:w="28" w:type="dxa"/>
          <w:bottom w:w="28" w:type="dxa"/>
          <w:right w:w="28" w:type="dxa"/>
        </w:tblCellMar>
      </w:tblPr>
      <w:tblGrid>
        <w:gridCol w:w="782"/>
        <w:gridCol w:w="685"/>
        <w:gridCol w:w="692"/>
        <w:gridCol w:w="139"/>
        <w:gridCol w:w="139"/>
        <w:gridCol w:w="141"/>
        <w:gridCol w:w="832"/>
        <w:gridCol w:w="832"/>
        <w:gridCol w:w="1185"/>
      </w:tblGrid>
      <w:tr>
        <w:trPr/>
        <w:tc>
          <w:tcPr>
            <w:tcW w:w="7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Date: August 6, 2026</w:t>
            </w:r>
          </w:p>
        </w:tc>
        <w:tc>
          <w:tcPr>
            <w:tcW w:w="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By:</w:t>
            </w:r>
          </w:p>
        </w:tc>
        <w:tc>
          <w:tcPr>
            <w:tcW w:w="28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/s/ Janice E. Zwinggi</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Name: Janice E. Zwinggi</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Title: Chief Financial Officer</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i/>
                <w:color w:val="000000"/>
                <w:sz w:val="20"/>
              </w:rPr>
            </w:pPr>
            <w:r>
              <w:rPr>
                <w:rFonts w:ascii="Frutiger LT 45 Light;sans-serif" w:hAnsi="Frutiger LT 45 Light;sans-serif"/>
                <w:b w:val="false"/>
                <w:i/>
                <w:color w:val="000000"/>
                <w:sz w:val="20"/>
              </w:rPr>
              <w:t>(Principal Financial Officer)</w:t>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7955"/>
                <wp:effectExtent l="0" t="0" r="0" b="0"/>
                <wp:wrapNone/>
                <wp:docPr id="50" name="Frame5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Frutiger LT 45 Light;sans-serif" w:hAnsi="Frutiger LT 45 Light;sans-serif"/>
                          <w:b w:val="false"/>
                          <w:color w:val="000000"/>
                          <w:sz w:val="20"/>
                        </w:rPr>
                      </w:pPr>
                      <w:r>
                        <w:rPr>
                          <w:rFonts w:ascii="Frutiger LT 45 Light;sans-serif" w:hAnsi="Frutiger LT 45 Light;sans-serif"/>
                          <w:b w:val="false"/>
                          <w:color w:val="000000"/>
                          <w:sz w:val="20"/>
                        </w:rPr>
                        <w:t>38</w:t>
                      </w:r>
                    </w:p>
                  </w:txbxContent>
                </v:textbox>
                <w10:wrap type="none"/>
              </v:rect>
            </w:pict>
          </mc:Fallback>
        </mc:AlternateContent>
      </w:r>
    </w:p>
    <w:p>
      <w:pPr>
        <w:pStyle w:val="TextBody"/>
        <w:bidi w:val="0"/>
        <w:spacing w:lineRule="auto" w:line="288" w:before="0" w:after="0"/>
        <w:jc w:val="right"/>
        <w:rPr>
          <w:rFonts w:ascii="Frutiger LT 45 Light;sans-serif" w:hAnsi="Frutiger LT 45 Light;sans-serif"/>
          <w:b/>
          <w:color w:val="000000"/>
          <w:sz w:val="20"/>
        </w:rPr>
      </w:pPr>
      <w:r>
        <w:rPr>
          <w:rFonts w:ascii="Frutiger LT 45 Light;sans-serif" w:hAnsi="Frutiger LT 45 Light;sans-serif"/>
          <w:b/>
          <w:color w:val="000000"/>
          <w:sz w:val="20"/>
        </w:rPr>
        <w:t>Exhibit 31.1</w:t>
      </w:r>
    </w:p>
    <w:p>
      <w:pPr>
        <w:pStyle w:val="TextBody"/>
        <w:bidi w:val="0"/>
        <w:spacing w:lineRule="auto" w:line="288" w:before="0" w:after="240"/>
        <w:jc w:val="center"/>
        <w:rPr>
          <w:rFonts w:ascii="Frutiger LT 45 Light;sans-serif" w:hAnsi="Frutiger LT 45 Light;sans-serif"/>
          <w:b/>
          <w:color w:val="000000"/>
          <w:sz w:val="20"/>
        </w:rPr>
      </w:pPr>
      <w:r>
        <w:rPr>
          <w:rFonts w:ascii="Frutiger LT 45 Light;sans-serif" w:hAnsi="Frutiger LT 45 Light;sans-serif"/>
          <w:b/>
          <w:color w:val="000000"/>
          <w:sz w:val="20"/>
        </w:rPr>
        <w:t xml:space="preserve">Certification Pursuant to Section 302 of Sarbanes-Oxley Act of 2002 </w:t>
      </w:r>
    </w:p>
    <w:p>
      <w:pPr>
        <w:pStyle w:val="TextBody"/>
        <w:bidi w:val="0"/>
        <w:spacing w:lineRule="auto" w:line="288" w:before="0" w:after="24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 xml:space="preserve">I, Richard F. Bunch III, certify that: </w:t>
      </w:r>
    </w:p>
    <w:p>
      <w:pPr>
        <w:pStyle w:val="TextBody"/>
        <w:bidi w:val="0"/>
        <w:spacing w:lineRule="auto" w:line="288" w:before="0" w:after="240"/>
        <w:ind w:left="0" w:right="0" w:hanging="3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 xml:space="preserve">1.I have reviewed this Quarterly Report on Form 10-Q of TWFG, Inc.; </w:t>
      </w:r>
    </w:p>
    <w:p>
      <w:pPr>
        <w:pStyle w:val="TextBody"/>
        <w:bidi w:val="0"/>
        <w:spacing w:lineRule="auto" w:line="288" w:before="0" w:after="240"/>
        <w:ind w:left="0" w:right="0" w:hanging="3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240"/>
        <w:ind w:left="0" w:right="0" w:hanging="3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240"/>
        <w:ind w:left="0" w:right="0" w:hanging="3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 xml:space="preserve">4.The registrant’s other certifying officer and I are responsible for establishing and maintaining disclosure controls and procedures (as defined in Exchange Act Rules 13a-15(e)) and internal control over financial reporting (as defined in Exchange Act Rules 13a-15(f) and 15d-15(f)) for the registrant and have: </w:t>
      </w:r>
    </w:p>
    <w:p>
      <w:pPr>
        <w:pStyle w:val="TextBody"/>
        <w:bidi w:val="0"/>
        <w:spacing w:lineRule="auto" w:line="288" w:before="0" w:after="240"/>
        <w:ind w:left="0" w:right="0" w:hanging="3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240"/>
        <w:ind w:left="0" w:right="0" w:hanging="3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3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240"/>
        <w:ind w:left="0" w:right="0" w:hanging="3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240"/>
        <w:ind w:left="0" w:right="0" w:hanging="3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240"/>
        <w:ind w:left="0" w:right="0" w:hanging="3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240"/>
        <w:ind w:left="0" w:right="0" w:hanging="3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 xml:space="preserve">b.Any fraud, whether or not material, that involves management or other employees who have a significant role in the registrant’s internal control over financial reporting. </w:t>
      </w:r>
    </w:p>
    <w:tbl>
      <w:tblPr>
        <w:tblW w:w="5518" w:type="dxa"/>
        <w:jc w:val="left"/>
        <w:tblInd w:w="0" w:type="dxa"/>
        <w:tblLayout w:type="fixed"/>
        <w:tblCellMar>
          <w:top w:w="28" w:type="dxa"/>
          <w:left w:w="28" w:type="dxa"/>
          <w:bottom w:w="28" w:type="dxa"/>
          <w:right w:w="28" w:type="dxa"/>
        </w:tblCellMar>
      </w:tblPr>
      <w:tblGrid>
        <w:gridCol w:w="782"/>
        <w:gridCol w:w="685"/>
        <w:gridCol w:w="692"/>
        <w:gridCol w:w="139"/>
        <w:gridCol w:w="139"/>
        <w:gridCol w:w="141"/>
        <w:gridCol w:w="861"/>
        <w:gridCol w:w="861"/>
        <w:gridCol w:w="1218"/>
      </w:tblGrid>
      <w:tr>
        <w:trPr/>
        <w:tc>
          <w:tcPr>
            <w:tcW w:w="7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Date: August 6, 2026</w:t>
            </w:r>
          </w:p>
        </w:tc>
        <w:tc>
          <w:tcPr>
            <w:tcW w:w="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By:</w:t>
            </w:r>
          </w:p>
        </w:tc>
        <w:tc>
          <w:tcPr>
            <w:tcW w:w="29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/s/ Richard F. Bunch III</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Name: Richard F. Bunch III</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i/>
                <w:color w:val="000000"/>
                <w:sz w:val="20"/>
              </w:rPr>
            </w:pPr>
            <w:r>
              <w:rPr>
                <w:rFonts w:ascii="Frutiger LT 45 Light;sans-serif" w:hAnsi="Frutiger LT 45 Light;sans-serif"/>
                <w:b w:val="false"/>
                <w:i/>
                <w:color w:val="000000"/>
                <w:sz w:val="20"/>
              </w:rPr>
              <w:t>Title: Chief Executive Officer</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Frutiger LT 45 Light;sans-serif" w:hAnsi="Frutiger LT 45 Light;sans-serif"/>
          <w:b/>
          <w:color w:val="000000"/>
          <w:sz w:val="20"/>
        </w:rPr>
      </w:pPr>
      <w:r>
        <w:rPr>
          <w:rFonts w:ascii="Frutiger LT 45 Light;sans-serif" w:hAnsi="Frutiger LT 45 Light;sans-serif"/>
          <w:b/>
          <w:color w:val="000000"/>
          <w:sz w:val="20"/>
        </w:rPr>
        <w:t>Exhibit 31.2</w:t>
      </w:r>
    </w:p>
    <w:p>
      <w:pPr>
        <w:pStyle w:val="TextBody"/>
        <w:bidi w:val="0"/>
        <w:spacing w:lineRule="auto" w:line="288" w:before="0" w:after="240"/>
        <w:jc w:val="center"/>
        <w:rPr>
          <w:rFonts w:ascii="Frutiger LT 45 Light;sans-serif" w:hAnsi="Frutiger LT 45 Light;sans-serif"/>
          <w:b/>
          <w:color w:val="000000"/>
          <w:sz w:val="20"/>
        </w:rPr>
      </w:pPr>
      <w:r>
        <w:rPr>
          <w:rFonts w:ascii="Frutiger LT 45 Light;sans-serif" w:hAnsi="Frutiger LT 45 Light;sans-serif"/>
          <w:b/>
          <w:color w:val="000000"/>
          <w:sz w:val="20"/>
        </w:rPr>
        <w:t xml:space="preserve">Certification Pursuant to Section 302 of Sarbanes-Oxley Act of 2002 </w:t>
      </w:r>
    </w:p>
    <w:p>
      <w:pPr>
        <w:pStyle w:val="TextBody"/>
        <w:bidi w:val="0"/>
        <w:spacing w:lineRule="auto" w:line="288" w:before="0" w:after="24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 xml:space="preserve">I, Janice E. Zwinggi, certify that: </w:t>
      </w:r>
    </w:p>
    <w:p>
      <w:pPr>
        <w:pStyle w:val="TextBody"/>
        <w:bidi w:val="0"/>
        <w:spacing w:lineRule="auto" w:line="288" w:before="0" w:after="240"/>
        <w:ind w:left="0" w:right="0" w:hanging="3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 xml:space="preserve">1.I have reviewed this Quarterly Report on Form 10-Q of TWFG, Inc.; </w:t>
      </w:r>
    </w:p>
    <w:p>
      <w:pPr>
        <w:pStyle w:val="TextBody"/>
        <w:bidi w:val="0"/>
        <w:spacing w:lineRule="auto" w:line="288" w:before="0" w:after="240"/>
        <w:ind w:left="0" w:right="0" w:hanging="3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240"/>
        <w:ind w:left="0" w:right="0" w:hanging="3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240"/>
        <w:ind w:left="0" w:right="0" w:hanging="3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 xml:space="preserve">4.The registrant’s other certifying officer and I are responsible for establishing and maintaining disclosure controls and procedures (as defined in Exchange Act Rules 13a-15(e)) and internal control over financial reporting (as defined in Exchange Act Rules 13a-15(f) and 15d-15(f)) for the registrant and have: </w:t>
      </w:r>
    </w:p>
    <w:p>
      <w:pPr>
        <w:pStyle w:val="TextBody"/>
        <w:bidi w:val="0"/>
        <w:spacing w:lineRule="auto" w:line="288" w:before="0" w:after="240"/>
        <w:ind w:left="0" w:right="0" w:hanging="3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240"/>
        <w:ind w:left="0" w:right="0" w:hanging="3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3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240"/>
        <w:ind w:left="0" w:right="0" w:hanging="3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240"/>
        <w:ind w:left="0" w:right="0" w:hanging="3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240"/>
        <w:ind w:left="0" w:right="0" w:hanging="3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240"/>
        <w:ind w:left="0" w:right="0" w:hanging="3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 xml:space="preserve">b.Any fraud, whether or not material, that involves management or other employees who have a significant role in the registrant’s internal control over financial reporting. </w:t>
      </w:r>
    </w:p>
    <w:tbl>
      <w:tblPr>
        <w:tblW w:w="5427" w:type="dxa"/>
        <w:jc w:val="left"/>
        <w:tblInd w:w="0" w:type="dxa"/>
        <w:tblLayout w:type="fixed"/>
        <w:tblCellMar>
          <w:top w:w="28" w:type="dxa"/>
          <w:left w:w="28" w:type="dxa"/>
          <w:bottom w:w="28" w:type="dxa"/>
          <w:right w:w="28" w:type="dxa"/>
        </w:tblCellMar>
      </w:tblPr>
      <w:tblGrid>
        <w:gridCol w:w="782"/>
        <w:gridCol w:w="685"/>
        <w:gridCol w:w="692"/>
        <w:gridCol w:w="139"/>
        <w:gridCol w:w="139"/>
        <w:gridCol w:w="141"/>
        <w:gridCol w:w="832"/>
        <w:gridCol w:w="832"/>
        <w:gridCol w:w="1185"/>
      </w:tblGrid>
      <w:tr>
        <w:trPr/>
        <w:tc>
          <w:tcPr>
            <w:tcW w:w="7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Date: August 6, 2026</w:t>
            </w:r>
          </w:p>
        </w:tc>
        <w:tc>
          <w:tcPr>
            <w:tcW w:w="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By:</w:t>
            </w:r>
          </w:p>
        </w:tc>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/s/ Janice E. Zwinggi</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Name: Janice E. Zwinggi</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i/>
                <w:color w:val="000000"/>
                <w:sz w:val="20"/>
              </w:rPr>
            </w:pPr>
            <w:r>
              <w:rPr>
                <w:rFonts w:ascii="Frutiger LT 45 Light;sans-serif" w:hAnsi="Frutiger LT 45 Light;sans-serif"/>
                <w:b w:val="false"/>
                <w:i/>
                <w:color w:val="000000"/>
                <w:sz w:val="20"/>
              </w:rPr>
              <w:t>Title: Chief Financial Officer</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Frutiger LT 45 Light;sans-serif" w:hAnsi="Frutiger LT 45 Light;sans-serif"/>
          <w:b/>
          <w:color w:val="000000"/>
          <w:sz w:val="20"/>
        </w:rPr>
      </w:pPr>
      <w:r>
        <w:rPr>
          <w:rFonts w:ascii="Frutiger LT 45 Light;sans-serif" w:hAnsi="Frutiger LT 45 Light;sans-serif"/>
          <w:b/>
          <w:color w:val="000000"/>
          <w:sz w:val="20"/>
        </w:rPr>
        <w:t>Exhibit 32.1</w:t>
      </w:r>
    </w:p>
    <w:p>
      <w:pPr>
        <w:pStyle w:val="TextBody"/>
        <w:bidi w:val="0"/>
        <w:spacing w:lineRule="auto" w:line="288" w:before="0" w:after="240"/>
        <w:jc w:val="center"/>
        <w:rPr>
          <w:rFonts w:ascii="Frutiger LT 45 Light;sans-serif" w:hAnsi="Frutiger LT 45 Light;sans-serif"/>
          <w:b/>
          <w:color w:val="000000"/>
          <w:sz w:val="20"/>
        </w:rPr>
      </w:pPr>
      <w:r>
        <w:rPr>
          <w:rFonts w:ascii="Frutiger LT 45 Light;sans-serif" w:hAnsi="Frutiger LT 45 Light;sans-serif"/>
          <w:b/>
          <w:color w:val="000000"/>
          <w:sz w:val="20"/>
        </w:rPr>
        <w:t xml:space="preserve">Certification of the Chief Executive Officer </w:t>
      </w:r>
    </w:p>
    <w:p>
      <w:pPr>
        <w:pStyle w:val="TextBody"/>
        <w:bidi w:val="0"/>
        <w:spacing w:lineRule="auto" w:line="288" w:before="0" w:after="0"/>
        <w:jc w:val="center"/>
        <w:rPr>
          <w:rFonts w:ascii="Frutiger LT 45 Light;sans-serif" w:hAnsi="Frutiger LT 45 Light;sans-serif"/>
          <w:b/>
          <w:color w:val="000000"/>
          <w:sz w:val="20"/>
        </w:rPr>
      </w:pPr>
      <w:r>
        <w:rPr>
          <w:rFonts w:ascii="Frutiger LT 45 Light;sans-serif" w:hAnsi="Frutiger LT 45 Light;sans-serif"/>
          <w:b/>
          <w:color w:val="000000"/>
          <w:sz w:val="20"/>
        </w:rPr>
        <w:t xml:space="preserve">Pursuant to Rule 18 U.S.C. Section 1350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24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 xml:space="preserve">In connection with the Quarterly Report on Form 10-Q of TWFG, Inc. (the “Company”) for the period ended June 30, 2026, as filed with the U.S. Securities and Exchange Commission (the “Report”), I, Richard F. Bunch III, Chief Executive Officer of the Company, hereby certify, pursuant to 18 U.S.C. Section 1350, as adopted pursuant to Section 906 of the Sarbanes-Oxley Act of 2002, that, to my knowledge: </w:t>
      </w:r>
    </w:p>
    <w:p>
      <w:pPr>
        <w:pStyle w:val="TextBody"/>
        <w:bidi w:val="0"/>
        <w:spacing w:lineRule="auto" w:line="288" w:before="0" w:after="240"/>
        <w:ind w:left="0" w:right="0" w:hanging="3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 xml:space="preserve">1.The Report fully complies with the requirements of Section 13(a) or 15(d) of the Securities Exchange Act of 1934, as amended; and </w:t>
      </w:r>
    </w:p>
    <w:p>
      <w:pPr>
        <w:pStyle w:val="TextBody"/>
        <w:bidi w:val="0"/>
        <w:spacing w:lineRule="auto" w:line="288" w:before="0" w:after="240"/>
        <w:ind w:left="0" w:right="0" w:hanging="3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 xml:space="preserve">2.The information contained in the Report fairly presents, in all material respects, the financial condition and results of operations of the Company. </w:t>
      </w:r>
    </w:p>
    <w:p>
      <w:pPr>
        <w:pStyle w:val="TextBody"/>
        <w:bidi w:val="0"/>
        <w:spacing w:before="0" w:after="240"/>
        <w:jc w:val="left"/>
        <w:rPr/>
      </w:pPr>
      <w:r>
        <w:rPr/>
      </w:r>
    </w:p>
    <w:tbl>
      <w:tblPr>
        <w:tblW w:w="5518" w:type="dxa"/>
        <w:jc w:val="left"/>
        <w:tblInd w:w="0" w:type="dxa"/>
        <w:tblLayout w:type="fixed"/>
        <w:tblCellMar>
          <w:top w:w="28" w:type="dxa"/>
          <w:left w:w="28" w:type="dxa"/>
          <w:bottom w:w="28" w:type="dxa"/>
          <w:right w:w="28" w:type="dxa"/>
        </w:tblCellMar>
      </w:tblPr>
      <w:tblGrid>
        <w:gridCol w:w="782"/>
        <w:gridCol w:w="685"/>
        <w:gridCol w:w="692"/>
        <w:gridCol w:w="139"/>
        <w:gridCol w:w="139"/>
        <w:gridCol w:w="141"/>
        <w:gridCol w:w="861"/>
        <w:gridCol w:w="861"/>
        <w:gridCol w:w="1218"/>
      </w:tblGrid>
      <w:tr>
        <w:trPr/>
        <w:tc>
          <w:tcPr>
            <w:tcW w:w="7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Date: August 6, 2026</w:t>
            </w:r>
          </w:p>
        </w:tc>
        <w:tc>
          <w:tcPr>
            <w:tcW w:w="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By:</w:t>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/s/ Richard F. Bunch III</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Name: Richard F. Bunch III</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i/>
                <w:color w:val="000000"/>
                <w:sz w:val="20"/>
              </w:rPr>
            </w:pPr>
            <w:r>
              <w:rPr>
                <w:rFonts w:ascii="Frutiger LT 45 Light;sans-serif" w:hAnsi="Frutiger LT 45 Light;sans-serif"/>
                <w:b w:val="false"/>
                <w:i/>
                <w:color w:val="000000"/>
                <w:sz w:val="20"/>
              </w:rPr>
              <w:t>Title: Chief Executive Officer</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Frutiger LT 45 Light;sans-serif" w:hAnsi="Frutiger LT 45 Light;sans-serif"/>
          <w:b/>
          <w:color w:val="000000"/>
          <w:sz w:val="20"/>
        </w:rPr>
      </w:pPr>
      <w:r>
        <w:rPr>
          <w:rFonts w:ascii="Frutiger LT 45 Light;sans-serif" w:hAnsi="Frutiger LT 45 Light;sans-serif"/>
          <w:b/>
          <w:color w:val="000000"/>
          <w:sz w:val="20"/>
        </w:rPr>
        <w:t>Exhibit 32.2</w:t>
      </w:r>
    </w:p>
    <w:p>
      <w:pPr>
        <w:pStyle w:val="TextBody"/>
        <w:bidi w:val="0"/>
        <w:spacing w:lineRule="auto" w:line="288" w:before="0" w:after="240"/>
        <w:jc w:val="center"/>
        <w:rPr>
          <w:rFonts w:ascii="Frutiger LT 45 Light;sans-serif" w:hAnsi="Frutiger LT 45 Light;sans-serif"/>
          <w:b/>
          <w:color w:val="000000"/>
          <w:sz w:val="20"/>
        </w:rPr>
      </w:pPr>
      <w:r>
        <w:rPr>
          <w:rFonts w:ascii="Frutiger LT 45 Light;sans-serif" w:hAnsi="Frutiger LT 45 Light;sans-serif"/>
          <w:b/>
          <w:color w:val="000000"/>
          <w:sz w:val="20"/>
        </w:rPr>
        <w:t xml:space="preserve">Certification of the Chief Financial Officer </w:t>
      </w:r>
    </w:p>
    <w:p>
      <w:pPr>
        <w:pStyle w:val="TextBody"/>
        <w:bidi w:val="0"/>
        <w:spacing w:lineRule="auto" w:line="288" w:before="0" w:after="0"/>
        <w:jc w:val="center"/>
        <w:rPr>
          <w:rFonts w:ascii="Frutiger LT 45 Light;sans-serif" w:hAnsi="Frutiger LT 45 Light;sans-serif"/>
          <w:b/>
          <w:color w:val="000000"/>
          <w:sz w:val="20"/>
        </w:rPr>
      </w:pPr>
      <w:r>
        <w:rPr>
          <w:rFonts w:ascii="Frutiger LT 45 Light;sans-serif" w:hAnsi="Frutiger LT 45 Light;sans-serif"/>
          <w:b/>
          <w:color w:val="000000"/>
          <w:sz w:val="20"/>
        </w:rPr>
        <w:t xml:space="preserve">Pursuant to Rule 18 U.S.C. Section 1350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24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 xml:space="preserve">In connection with the Quarterly Report on Form 10-Q of TWFG, Inc. (the “Company”) for the period ended June 30, 2026, as filed with the U.S. Securities and Exchange Commission (the “Report”), I, Janice E. Zwinggi, Chief Financial Officer of the Company, hereby certify, pursuant to 18 U.S.C. Section 1350, as adopted pursuant to Section 906 of the Sarbanes-Oxley Act of 2002, that, to my knowledge: </w:t>
      </w:r>
    </w:p>
    <w:p>
      <w:pPr>
        <w:pStyle w:val="TextBody"/>
        <w:bidi w:val="0"/>
        <w:spacing w:lineRule="auto" w:line="288" w:before="0" w:after="240"/>
        <w:ind w:left="0" w:right="0" w:hanging="3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 xml:space="preserve">1.The Report fully complies with the requirements of Section 13(a) or 15(d) of the Securities Exchange Act of 1934, as amended; and </w:t>
      </w:r>
    </w:p>
    <w:p>
      <w:pPr>
        <w:pStyle w:val="TextBody"/>
        <w:bidi w:val="0"/>
        <w:spacing w:lineRule="auto" w:line="288" w:before="0" w:after="240"/>
        <w:ind w:left="0" w:right="0" w:hanging="36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 xml:space="preserve">2.The information contained in the Report fairly presents, in all material respects, the financial condition and results of operations of the Company. </w:t>
      </w:r>
    </w:p>
    <w:p>
      <w:pPr>
        <w:pStyle w:val="TextBody"/>
        <w:bidi w:val="0"/>
        <w:spacing w:before="0" w:after="240"/>
        <w:jc w:val="left"/>
        <w:rPr/>
      </w:pPr>
      <w:r>
        <w:rPr/>
      </w:r>
    </w:p>
    <w:tbl>
      <w:tblPr>
        <w:tblW w:w="5427" w:type="dxa"/>
        <w:jc w:val="left"/>
        <w:tblInd w:w="0" w:type="dxa"/>
        <w:tblLayout w:type="fixed"/>
        <w:tblCellMar>
          <w:top w:w="28" w:type="dxa"/>
          <w:left w:w="28" w:type="dxa"/>
          <w:bottom w:w="28" w:type="dxa"/>
          <w:right w:w="28" w:type="dxa"/>
        </w:tblCellMar>
      </w:tblPr>
      <w:tblGrid>
        <w:gridCol w:w="782"/>
        <w:gridCol w:w="685"/>
        <w:gridCol w:w="692"/>
        <w:gridCol w:w="139"/>
        <w:gridCol w:w="139"/>
        <w:gridCol w:w="141"/>
        <w:gridCol w:w="832"/>
        <w:gridCol w:w="832"/>
        <w:gridCol w:w="1185"/>
      </w:tblGrid>
      <w:tr>
        <w:trPr/>
        <w:tc>
          <w:tcPr>
            <w:tcW w:w="7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Date: August 6, 2026</w:t>
            </w:r>
          </w:p>
        </w:tc>
        <w:tc>
          <w:tcPr>
            <w:tcW w:w="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By:</w:t>
            </w:r>
          </w:p>
        </w:tc>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/s/ Janice E. Zwinggi</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color w:val="000000"/>
                <w:sz w:val="20"/>
              </w:rPr>
            </w:pPr>
            <w:r>
              <w:rPr>
                <w:rFonts w:ascii="Frutiger LT 45 Light;sans-serif" w:hAnsi="Frutiger LT 45 Light;sans-serif"/>
                <w:b w:val="false"/>
                <w:color w:val="000000"/>
                <w:sz w:val="20"/>
              </w:rPr>
              <w:t>Name: Janice E. Zwinggi</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val="false"/>
                <w:i/>
                <w:color w:val="000000"/>
                <w:sz w:val="20"/>
              </w:rPr>
            </w:pPr>
            <w:r>
              <w:rPr>
                <w:rFonts w:ascii="Frutiger LT 45 Light;sans-serif" w:hAnsi="Frutiger LT 45 Light;sans-serif"/>
                <w:b w:val="false"/>
                <w:i/>
                <w:color w:val="000000"/>
                <w:sz w:val="20"/>
              </w:rPr>
              <w:t>Title: Chief Financial Officer</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Frutiger LT 45 Light">
    <w:altName w:val="sans-serif"/>
    <w:charset w:val="01"/>
    <w:family w:val="auto"/>
    <w:pitch w:val="default"/>
  </w:font>
  <w:font w:name="Wingdings">
    <w:altName w:val="sans-serif"/>
    <w:charset w:val="02"/>
    <w:family w:val="auto"/>
    <w:pitch w:val="default"/>
  </w:font>
  <w:font w:name="Frutiger LT 55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07596/000162828024032599/exhibit31-8xk.htm" TargetMode="External"/><Relationship Id="rId3" Type="http://schemas.openxmlformats.org/officeDocument/2006/relationships/hyperlink" Target="https://www.sec.gov/Archives/edgar/data/2007596/000162828024032599/exhibit32-8xk.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24311</Words>
  <Characters>131915</Characters>
  <CharactersWithSpaces>154330</CharactersWithSpaces>
  <Paragraphs>4000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