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6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DOAK MICHAEL</w:t>
              </w:r>
            </w:hyperlink>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TWFG,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TWFG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2000" w:type="dxa"/>
            <w:vAlign w:val="bottom"/>
            <w:vMerge w:val="restart"/>
          </w:tcPr>
          <w:p>
            <w:pPr>
              <w:ind w:left="8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10055 GROGANS MILL RD, SUITE 500</w:t>
            </w: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THE</w:t>
      </w:r>
      <w:r>
        <w:rPr>
          <w:sz w:val="20"/>
          <w:szCs w:val="20"/>
          <w:color w:val="auto"/>
        </w:rPr>
        <w:tab/>
      </w:r>
      <w:r>
        <w:rPr>
          <w:rFonts w:ascii="Times New Roman" w:cs="Times New Roman" w:eastAsia="Times New Roman" w:hAnsi="Times New Roman"/>
          <w:sz w:val="10"/>
          <w:szCs w:val="10"/>
          <w:color w:val="0000FF"/>
        </w:rPr>
        <w:t>TX</w:t>
      </w:r>
      <w:r>
        <w:rPr>
          <w:sz w:val="20"/>
          <w:szCs w:val="20"/>
          <w:color w:val="auto"/>
        </w:rPr>
        <w:tab/>
      </w:r>
      <w:r>
        <w:rPr>
          <w:rFonts w:ascii="Times New Roman" w:cs="Times New Roman" w:eastAsia="Times New Roman" w:hAnsi="Times New Roman"/>
          <w:sz w:val="14"/>
          <w:szCs w:val="14"/>
          <w:color w:val="0000FF"/>
        </w:rPr>
        <w:t>77380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WOODLANDS</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10,117</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7,865</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gridSpan w:val="2"/>
          </w:tcPr>
          <w:p>
            <w:pPr>
              <w:jc w:val="center"/>
              <w:ind w:right="200"/>
              <w:spacing w:after="0" w:line="213" w:lineRule="exact"/>
              <w:rPr>
                <w:sz w:val="20"/>
                <w:szCs w:val="20"/>
                <w:color w:val="auto"/>
              </w:rPr>
            </w:pPr>
            <w:r>
              <w:rPr>
                <w:rFonts w:ascii="Times New Roman" w:cs="Times New Roman" w:eastAsia="Times New Roman" w:hAnsi="Times New Roman"/>
                <w:sz w:val="17"/>
                <w:szCs w:val="17"/>
                <w:color w:val="0000FF"/>
              </w:rPr>
              <w:t>765,587</w:t>
            </w:r>
            <w:r>
              <w:rPr>
                <w:rFonts w:ascii="Times New Roman" w:cs="Times New Roman" w:eastAsia="Times New Roman" w:hAnsi="Times New Roman"/>
                <w:sz w:val="22"/>
                <w:szCs w:val="22"/>
                <w:color w:val="008000"/>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reported herein include 4,000 restricted stock units ("RSUs") previously granted to the reporting person in his capacity as a director of the issuer. The RSUs vest in full on the first anniversary of their grant date, subject to his continued service as a director through the vesting date.</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753,216 shares of Class A Common Stock reported herein are held directly by Griffin Highline Capital LLC. Mr. Michael Doak is the Chief Executive Officer, Co-Chairman and Manager of Griffin Highline Capital LLC and has sole voting and dispositive power over the shares held by Griffin Highline Capital LLC. 12,371 shares of Class A Common Stock reported herein are directly held by Dallas Specialty Insurance Company, which is controlled by Griffin Highline Capital LLC. Mr. Doak disclaims beneficial ownership of any units or shares owned by either Griffin Highline Capital LLC or Dallas Specialty Insurance Company, except to the extent of his pecuniary interests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Julie E. Benes, as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Michael Doak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672" TargetMode="External"/><Relationship Id="rId14" Type="http://schemas.openxmlformats.org/officeDocument/2006/relationships/hyperlink" Target="http://www.sec.gov/cgi-bin/browse-edgar?action=getcompany&amp;CIK=00020075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2026-06-08T17:02:34Z</dcterms:created>
  <dcterms:modified xsi:type="dcterms:W3CDTF">2026-06-08T17:02:34Z</dcterms:modified>
</cp:coreProperties>
</file>