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080.xml.htm"/>
      <w:bookmarkStart w:id="1" w:name="kswkform4_17846710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Bunch Michelle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64"/>
        <w:gridCol w:w="444"/>
        <w:gridCol w:w="748"/>
        <w:gridCol w:w="1178"/>
        <w:gridCol w:w="984"/>
        <w:gridCol w:w="99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313,596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husband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15,967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first son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holdings lines reflect the individual holdings of the distinct indirect forms of deemed pecuniary interest instead of reporting them in an aggregated form.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Michelle Caroline Bunch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75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3529</Characters>
  <CharactersWithSpaces>4102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